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33D" w:rsidRPr="00023E1F" w:rsidRDefault="00E26CE8" w:rsidP="00EE4BEC">
      <w:pPr>
        <w:pStyle w:val="ListParagraph"/>
        <w:numPr>
          <w:ilvl w:val="0"/>
          <w:numId w:val="11"/>
        </w:numPr>
        <w:spacing w:before="400" w:after="200" w:line="269" w:lineRule="auto"/>
        <w:contextualSpacing w:val="0"/>
        <w:rPr>
          <w:rStyle w:val="Strong"/>
          <w:rFonts w:asciiTheme="minorHAnsi" w:eastAsiaTheme="majorEastAsia" w:hAnsiTheme="minorHAnsi" w:cstheme="minorHAnsi"/>
        </w:rPr>
      </w:pPr>
      <w:r>
        <w:rPr>
          <w:rStyle w:val="Strong"/>
          <w:rFonts w:asciiTheme="minorHAnsi" w:eastAsiaTheme="majorEastAsia" w:hAnsiTheme="minorHAnsi" w:cstheme="minorHAnsi"/>
        </w:rPr>
        <w:t>PURPOSE</w:t>
      </w:r>
    </w:p>
    <w:p w:rsidR="0075533D" w:rsidRPr="00023E1F" w:rsidRDefault="00023E1F" w:rsidP="00877F8F">
      <w:pPr>
        <w:spacing w:after="200" w:line="269" w:lineRule="auto"/>
        <w:rPr>
          <w:rStyle w:val="Strong"/>
          <w:rFonts w:asciiTheme="minorHAnsi" w:eastAsiaTheme="majorEastAsia" w:hAnsiTheme="minorHAnsi" w:cstheme="minorHAnsi"/>
          <w:b w:val="0"/>
          <w:sz w:val="22"/>
          <w:szCs w:val="22"/>
        </w:rPr>
      </w:pPr>
      <w:r>
        <w:rPr>
          <w:rStyle w:val="Strong"/>
          <w:rFonts w:asciiTheme="minorHAnsi" w:eastAsiaTheme="majorEastAsia" w:hAnsiTheme="minorHAnsi" w:cstheme="minorHAnsi"/>
          <w:b w:val="0"/>
          <w:sz w:val="22"/>
          <w:szCs w:val="22"/>
        </w:rPr>
        <w:t>To clarify</w:t>
      </w:r>
      <w:r w:rsidR="00B30B5A" w:rsidRPr="00023E1F">
        <w:rPr>
          <w:rStyle w:val="Strong"/>
          <w:rFonts w:asciiTheme="minorHAnsi" w:eastAsiaTheme="majorEastAsia" w:hAnsiTheme="minorHAnsi" w:cstheme="minorHAnsi"/>
          <w:b w:val="0"/>
          <w:sz w:val="22"/>
          <w:szCs w:val="22"/>
        </w:rPr>
        <w:t xml:space="preserve"> the roles and responsibilities of the Division of Advancement </w:t>
      </w:r>
      <w:r w:rsidR="00686F41">
        <w:rPr>
          <w:rStyle w:val="Strong"/>
          <w:rFonts w:asciiTheme="minorHAnsi" w:eastAsiaTheme="majorEastAsia" w:hAnsiTheme="minorHAnsi" w:cstheme="minorHAnsi"/>
          <w:b w:val="0"/>
          <w:sz w:val="22"/>
          <w:szCs w:val="22"/>
        </w:rPr>
        <w:t xml:space="preserve">through UNSW Foundation </w:t>
      </w:r>
      <w:r w:rsidR="00B30B5A" w:rsidRPr="00023E1F">
        <w:rPr>
          <w:rStyle w:val="Strong"/>
          <w:rFonts w:asciiTheme="minorHAnsi" w:eastAsiaTheme="majorEastAsia" w:hAnsiTheme="minorHAnsi" w:cstheme="minorHAnsi"/>
          <w:b w:val="0"/>
          <w:sz w:val="22"/>
          <w:szCs w:val="22"/>
        </w:rPr>
        <w:t>and the Division of Research in managing research income.</w:t>
      </w:r>
    </w:p>
    <w:p w:rsidR="0075533D" w:rsidRPr="00023E1F" w:rsidRDefault="0075533D" w:rsidP="00EE4BEC">
      <w:pPr>
        <w:pStyle w:val="ListParagraph"/>
        <w:numPr>
          <w:ilvl w:val="0"/>
          <w:numId w:val="11"/>
        </w:numPr>
        <w:spacing w:before="400" w:after="200" w:line="269" w:lineRule="auto"/>
        <w:contextualSpacing w:val="0"/>
        <w:rPr>
          <w:rFonts w:asciiTheme="minorHAnsi" w:hAnsiTheme="minorHAnsi" w:cstheme="minorHAnsi"/>
          <w:b/>
        </w:rPr>
      </w:pPr>
      <w:r w:rsidRPr="00023E1F">
        <w:rPr>
          <w:rFonts w:asciiTheme="minorHAnsi" w:hAnsiTheme="minorHAnsi" w:cstheme="minorHAnsi"/>
          <w:b/>
        </w:rPr>
        <w:t>BACKGROUND</w:t>
      </w:r>
    </w:p>
    <w:p w:rsidR="00023E1F" w:rsidRPr="00023E1F" w:rsidRDefault="00023E1F" w:rsidP="00877F8F">
      <w:pPr>
        <w:spacing w:after="200" w:line="269" w:lineRule="auto"/>
        <w:outlineLvl w:val="2"/>
        <w:rPr>
          <w:rFonts w:asciiTheme="minorHAnsi" w:hAnsiTheme="minorHAnsi" w:cstheme="minorHAnsi"/>
          <w:bCs/>
          <w:sz w:val="22"/>
          <w:szCs w:val="22"/>
          <w:lang w:eastAsia="en-AU"/>
        </w:rPr>
      </w:pPr>
      <w:r w:rsidRPr="00023E1F">
        <w:rPr>
          <w:rFonts w:asciiTheme="minorHAnsi" w:hAnsiTheme="minorHAnsi" w:cstheme="minorHAnsi"/>
          <w:bCs/>
          <w:sz w:val="22"/>
          <w:szCs w:val="22"/>
          <w:lang w:eastAsia="en-AU"/>
        </w:rPr>
        <w:t>The Division of Advancement</w:t>
      </w:r>
      <w:r w:rsidR="004F23DB">
        <w:rPr>
          <w:rFonts w:asciiTheme="minorHAnsi" w:hAnsiTheme="minorHAnsi" w:cstheme="minorHAnsi"/>
          <w:bCs/>
          <w:sz w:val="22"/>
          <w:szCs w:val="22"/>
          <w:lang w:eastAsia="en-AU"/>
        </w:rPr>
        <w:t xml:space="preserve"> (Advancement)</w:t>
      </w:r>
      <w:r w:rsidRPr="00023E1F">
        <w:rPr>
          <w:rFonts w:asciiTheme="minorHAnsi" w:hAnsiTheme="minorHAnsi" w:cstheme="minorHAnsi"/>
          <w:bCs/>
          <w:sz w:val="22"/>
          <w:szCs w:val="22"/>
          <w:lang w:eastAsia="en-AU"/>
        </w:rPr>
        <w:t xml:space="preserve"> is responsible for promoting philanthropy and fundraising to advance UNSW goals in all areas including research. </w:t>
      </w:r>
      <w:r w:rsidR="00295F3D">
        <w:rPr>
          <w:rFonts w:asciiTheme="minorHAnsi" w:hAnsiTheme="minorHAnsi" w:cstheme="minorHAnsi"/>
          <w:bCs/>
          <w:sz w:val="22"/>
          <w:szCs w:val="22"/>
          <w:lang w:eastAsia="en-AU"/>
        </w:rPr>
        <w:t xml:space="preserve"> </w:t>
      </w:r>
      <w:r w:rsidRPr="00023E1F">
        <w:rPr>
          <w:rFonts w:asciiTheme="minorHAnsi" w:hAnsiTheme="minorHAnsi" w:cstheme="minorHAnsi"/>
          <w:bCs/>
          <w:sz w:val="22"/>
          <w:szCs w:val="22"/>
          <w:lang w:eastAsia="en-AU"/>
        </w:rPr>
        <w:t>This includes:</w:t>
      </w:r>
    </w:p>
    <w:p w:rsidR="00023E1F" w:rsidRPr="00023E1F" w:rsidRDefault="00295F3D" w:rsidP="00877F8F">
      <w:pPr>
        <w:numPr>
          <w:ilvl w:val="0"/>
          <w:numId w:val="3"/>
        </w:numPr>
        <w:spacing w:after="200" w:line="269" w:lineRule="auto"/>
        <w:outlineLvl w:val="2"/>
        <w:rPr>
          <w:rFonts w:asciiTheme="minorHAnsi" w:hAnsiTheme="minorHAnsi" w:cstheme="minorHAnsi"/>
          <w:bCs/>
          <w:sz w:val="22"/>
          <w:szCs w:val="22"/>
          <w:lang w:eastAsia="en-AU"/>
        </w:rPr>
      </w:pPr>
      <w:r>
        <w:rPr>
          <w:rFonts w:asciiTheme="minorHAnsi" w:hAnsiTheme="minorHAnsi" w:cstheme="minorHAnsi"/>
          <w:bCs/>
          <w:sz w:val="22"/>
          <w:szCs w:val="22"/>
          <w:lang w:eastAsia="en-AU"/>
        </w:rPr>
        <w:t>i</w:t>
      </w:r>
      <w:r w:rsidR="00023E1F" w:rsidRPr="00023E1F">
        <w:rPr>
          <w:rFonts w:asciiTheme="minorHAnsi" w:hAnsiTheme="minorHAnsi" w:cstheme="minorHAnsi"/>
          <w:bCs/>
          <w:sz w:val="22"/>
          <w:szCs w:val="22"/>
          <w:lang w:eastAsia="en-AU"/>
        </w:rPr>
        <w:t>nitiating proposals to sponsors, philanthropists, trusts and foundations in areas of interest</w:t>
      </w:r>
    </w:p>
    <w:p w:rsidR="00023E1F" w:rsidRDefault="00295F3D" w:rsidP="00877F8F">
      <w:pPr>
        <w:numPr>
          <w:ilvl w:val="0"/>
          <w:numId w:val="3"/>
        </w:numPr>
        <w:spacing w:after="200" w:line="269" w:lineRule="auto"/>
        <w:outlineLvl w:val="2"/>
        <w:rPr>
          <w:rFonts w:asciiTheme="minorHAnsi" w:hAnsiTheme="minorHAnsi" w:cstheme="minorHAnsi"/>
          <w:bCs/>
          <w:sz w:val="22"/>
          <w:szCs w:val="22"/>
          <w:lang w:eastAsia="en-AU"/>
        </w:rPr>
      </w:pPr>
      <w:r>
        <w:rPr>
          <w:rFonts w:asciiTheme="minorHAnsi" w:hAnsiTheme="minorHAnsi" w:cstheme="minorHAnsi"/>
          <w:bCs/>
          <w:sz w:val="22"/>
          <w:szCs w:val="22"/>
          <w:lang w:eastAsia="en-AU"/>
        </w:rPr>
        <w:t>c</w:t>
      </w:r>
      <w:r w:rsidR="00023E1F" w:rsidRPr="00023E1F">
        <w:rPr>
          <w:rFonts w:asciiTheme="minorHAnsi" w:hAnsiTheme="minorHAnsi" w:cstheme="minorHAnsi"/>
          <w:bCs/>
          <w:sz w:val="22"/>
          <w:szCs w:val="22"/>
          <w:lang w:eastAsia="en-AU"/>
        </w:rPr>
        <w:t>onnecting researchers to areas of opportunity</w:t>
      </w:r>
    </w:p>
    <w:p w:rsidR="00EA7E7F" w:rsidRPr="002E041A" w:rsidRDefault="00EA7E7F" w:rsidP="00877F8F">
      <w:pPr>
        <w:numPr>
          <w:ilvl w:val="0"/>
          <w:numId w:val="3"/>
        </w:numPr>
        <w:spacing w:after="200" w:line="269" w:lineRule="auto"/>
        <w:outlineLvl w:val="2"/>
        <w:rPr>
          <w:rFonts w:asciiTheme="minorHAnsi" w:hAnsiTheme="minorHAnsi" w:cstheme="minorHAnsi"/>
          <w:bCs/>
          <w:sz w:val="22"/>
          <w:szCs w:val="22"/>
          <w:lang w:eastAsia="en-AU"/>
        </w:rPr>
      </w:pPr>
      <w:r w:rsidRPr="002E041A">
        <w:rPr>
          <w:rFonts w:asciiTheme="minorHAnsi" w:hAnsiTheme="minorHAnsi" w:cstheme="minorHAnsi"/>
          <w:bCs/>
          <w:sz w:val="22"/>
          <w:szCs w:val="22"/>
          <w:lang w:eastAsia="en-AU"/>
        </w:rPr>
        <w:t xml:space="preserve">risk management and compliance with UNSW and regulatory policies relating to </w:t>
      </w:r>
      <w:r w:rsidR="002E041A" w:rsidRPr="002E041A">
        <w:rPr>
          <w:rFonts w:asciiTheme="minorHAnsi" w:hAnsiTheme="minorHAnsi" w:cstheme="minorHAnsi"/>
          <w:bCs/>
          <w:sz w:val="22"/>
          <w:szCs w:val="22"/>
          <w:lang w:eastAsia="en-AU"/>
        </w:rPr>
        <w:t>tax deductibility for gifts</w:t>
      </w:r>
    </w:p>
    <w:p w:rsidR="00023E1F" w:rsidRPr="00023E1F" w:rsidRDefault="00295F3D" w:rsidP="00877F8F">
      <w:pPr>
        <w:numPr>
          <w:ilvl w:val="0"/>
          <w:numId w:val="3"/>
        </w:numPr>
        <w:spacing w:after="200" w:line="269" w:lineRule="auto"/>
        <w:outlineLvl w:val="2"/>
        <w:rPr>
          <w:rFonts w:asciiTheme="minorHAnsi" w:hAnsiTheme="minorHAnsi" w:cstheme="minorHAnsi"/>
          <w:bCs/>
          <w:sz w:val="22"/>
          <w:szCs w:val="22"/>
          <w:lang w:eastAsia="en-AU"/>
        </w:rPr>
      </w:pPr>
      <w:r>
        <w:rPr>
          <w:rFonts w:asciiTheme="minorHAnsi" w:hAnsiTheme="minorHAnsi" w:cstheme="minorHAnsi"/>
          <w:bCs/>
          <w:sz w:val="22"/>
          <w:szCs w:val="22"/>
          <w:lang w:eastAsia="en-AU"/>
        </w:rPr>
        <w:t>s</w:t>
      </w:r>
      <w:r w:rsidR="00023E1F" w:rsidRPr="00023E1F">
        <w:rPr>
          <w:rFonts w:asciiTheme="minorHAnsi" w:hAnsiTheme="minorHAnsi" w:cstheme="minorHAnsi"/>
          <w:bCs/>
          <w:sz w:val="22"/>
          <w:szCs w:val="22"/>
          <w:lang w:eastAsia="en-AU"/>
        </w:rPr>
        <w:t>tewardship and relationship management with donors and other contributors</w:t>
      </w:r>
    </w:p>
    <w:p w:rsidR="004F23DB" w:rsidRDefault="004F23DB" w:rsidP="00877F8F">
      <w:pPr>
        <w:spacing w:after="200" w:line="269" w:lineRule="auto"/>
        <w:outlineLvl w:val="2"/>
        <w:rPr>
          <w:rFonts w:asciiTheme="minorHAnsi" w:hAnsiTheme="minorHAnsi" w:cstheme="minorHAnsi"/>
          <w:bCs/>
          <w:sz w:val="22"/>
          <w:szCs w:val="22"/>
          <w:lang w:eastAsia="en-AU"/>
        </w:rPr>
      </w:pPr>
      <w:r>
        <w:rPr>
          <w:rFonts w:asciiTheme="minorHAnsi" w:hAnsiTheme="minorHAnsi" w:cstheme="minorHAnsi"/>
          <w:bCs/>
          <w:sz w:val="22"/>
          <w:szCs w:val="22"/>
          <w:lang w:eastAsia="en-AU"/>
        </w:rPr>
        <w:t xml:space="preserve">The Division of Advancement has expertise in developing and implementing cultivation and engagement strategies with individuals and </w:t>
      </w:r>
      <w:proofErr w:type="spellStart"/>
      <w:r>
        <w:rPr>
          <w:rFonts w:asciiTheme="minorHAnsi" w:hAnsiTheme="minorHAnsi" w:cstheme="minorHAnsi"/>
          <w:bCs/>
          <w:sz w:val="22"/>
          <w:szCs w:val="22"/>
          <w:lang w:eastAsia="en-AU"/>
        </w:rPr>
        <w:t>organisations</w:t>
      </w:r>
      <w:proofErr w:type="spellEnd"/>
      <w:r>
        <w:rPr>
          <w:rFonts w:asciiTheme="minorHAnsi" w:hAnsiTheme="minorHAnsi" w:cstheme="minorHAnsi"/>
          <w:bCs/>
          <w:sz w:val="22"/>
          <w:szCs w:val="22"/>
          <w:lang w:eastAsia="en-AU"/>
        </w:rPr>
        <w:t xml:space="preserve"> who are interested in providing philanthropic support to the University.</w:t>
      </w:r>
    </w:p>
    <w:p w:rsidR="00023E1F" w:rsidRPr="00023E1F" w:rsidRDefault="00023E1F" w:rsidP="00877F8F">
      <w:pPr>
        <w:spacing w:after="200" w:line="269" w:lineRule="auto"/>
        <w:outlineLvl w:val="2"/>
        <w:rPr>
          <w:rFonts w:asciiTheme="minorHAnsi" w:hAnsiTheme="minorHAnsi" w:cstheme="minorHAnsi"/>
          <w:bCs/>
          <w:sz w:val="22"/>
          <w:szCs w:val="22"/>
          <w:lang w:eastAsia="en-AU"/>
        </w:rPr>
      </w:pPr>
      <w:r w:rsidRPr="00023E1F">
        <w:rPr>
          <w:rFonts w:asciiTheme="minorHAnsi" w:hAnsiTheme="minorHAnsi" w:cstheme="minorHAnsi"/>
          <w:bCs/>
          <w:sz w:val="22"/>
          <w:szCs w:val="22"/>
          <w:lang w:eastAsia="en-AU"/>
        </w:rPr>
        <w:t xml:space="preserve">The Division of Research </w:t>
      </w:r>
      <w:r w:rsidR="004F23DB">
        <w:rPr>
          <w:rFonts w:asciiTheme="minorHAnsi" w:hAnsiTheme="minorHAnsi" w:cstheme="minorHAnsi"/>
          <w:bCs/>
          <w:sz w:val="22"/>
          <w:szCs w:val="22"/>
          <w:lang w:eastAsia="en-AU"/>
        </w:rPr>
        <w:t xml:space="preserve">(Research) </w:t>
      </w:r>
      <w:r w:rsidRPr="00023E1F">
        <w:rPr>
          <w:rFonts w:asciiTheme="minorHAnsi" w:hAnsiTheme="minorHAnsi" w:cstheme="minorHAnsi"/>
          <w:bCs/>
          <w:sz w:val="22"/>
          <w:szCs w:val="22"/>
          <w:lang w:eastAsia="en-AU"/>
        </w:rPr>
        <w:t>is responsible for supporting administrative aspects of the research lifecycle including:</w:t>
      </w:r>
    </w:p>
    <w:p w:rsidR="00023E1F" w:rsidRPr="00023E1F" w:rsidRDefault="00295F3D" w:rsidP="00877F8F">
      <w:pPr>
        <w:numPr>
          <w:ilvl w:val="0"/>
          <w:numId w:val="2"/>
        </w:numPr>
        <w:spacing w:after="200" w:line="269" w:lineRule="auto"/>
        <w:outlineLvl w:val="2"/>
        <w:rPr>
          <w:rFonts w:asciiTheme="minorHAnsi" w:hAnsiTheme="minorHAnsi" w:cstheme="minorHAnsi"/>
          <w:bCs/>
          <w:sz w:val="22"/>
          <w:szCs w:val="22"/>
          <w:lang w:eastAsia="en-AU"/>
        </w:rPr>
      </w:pPr>
      <w:r>
        <w:rPr>
          <w:rFonts w:asciiTheme="minorHAnsi" w:hAnsiTheme="minorHAnsi" w:cstheme="minorHAnsi"/>
          <w:bCs/>
          <w:sz w:val="22"/>
          <w:szCs w:val="22"/>
          <w:lang w:eastAsia="en-AU"/>
        </w:rPr>
        <w:t>i</w:t>
      </w:r>
      <w:r w:rsidR="00023E1F" w:rsidRPr="00023E1F">
        <w:rPr>
          <w:rFonts w:asciiTheme="minorHAnsi" w:hAnsiTheme="minorHAnsi" w:cstheme="minorHAnsi"/>
          <w:bCs/>
          <w:sz w:val="22"/>
          <w:szCs w:val="22"/>
          <w:lang w:eastAsia="en-AU"/>
        </w:rPr>
        <w:t>dentifying sources and supporting proposals for research funding including government and non-philanthropic competitive grants, contract research, consulting and tenders</w:t>
      </w:r>
    </w:p>
    <w:p w:rsidR="00023E1F" w:rsidRPr="00023E1F" w:rsidRDefault="00902072" w:rsidP="00877F8F">
      <w:pPr>
        <w:numPr>
          <w:ilvl w:val="0"/>
          <w:numId w:val="2"/>
        </w:numPr>
        <w:spacing w:after="200" w:line="269" w:lineRule="auto"/>
        <w:outlineLvl w:val="2"/>
        <w:rPr>
          <w:rFonts w:asciiTheme="minorHAnsi" w:hAnsiTheme="minorHAnsi" w:cstheme="minorHAnsi"/>
          <w:bCs/>
          <w:sz w:val="22"/>
          <w:szCs w:val="22"/>
          <w:lang w:eastAsia="en-AU"/>
        </w:rPr>
      </w:pPr>
      <w:r>
        <w:rPr>
          <w:rFonts w:asciiTheme="minorHAnsi" w:hAnsiTheme="minorHAnsi" w:cstheme="minorHAnsi"/>
          <w:bCs/>
          <w:sz w:val="22"/>
          <w:szCs w:val="22"/>
          <w:lang w:eastAsia="en-AU"/>
        </w:rPr>
        <w:t>r</w:t>
      </w:r>
      <w:r w:rsidR="00023E1F" w:rsidRPr="00023E1F">
        <w:rPr>
          <w:rFonts w:asciiTheme="minorHAnsi" w:hAnsiTheme="minorHAnsi" w:cstheme="minorHAnsi"/>
          <w:bCs/>
          <w:sz w:val="22"/>
          <w:szCs w:val="22"/>
          <w:lang w:eastAsia="en-AU"/>
        </w:rPr>
        <w:t>isk management and compliance with UNSW and regulatory policies relating to research including governance arrangements, pricing and indirect cost recovery, ethics, safety and legal review</w:t>
      </w:r>
    </w:p>
    <w:p w:rsidR="00023E1F" w:rsidRPr="00023E1F" w:rsidRDefault="00902072" w:rsidP="00877F8F">
      <w:pPr>
        <w:numPr>
          <w:ilvl w:val="0"/>
          <w:numId w:val="2"/>
        </w:numPr>
        <w:spacing w:after="200" w:line="269" w:lineRule="auto"/>
        <w:outlineLvl w:val="2"/>
        <w:rPr>
          <w:rFonts w:asciiTheme="minorHAnsi" w:hAnsiTheme="minorHAnsi" w:cstheme="minorHAnsi"/>
          <w:bCs/>
          <w:sz w:val="22"/>
          <w:szCs w:val="22"/>
          <w:lang w:eastAsia="en-AU"/>
        </w:rPr>
      </w:pPr>
      <w:r>
        <w:rPr>
          <w:rFonts w:asciiTheme="minorHAnsi" w:hAnsiTheme="minorHAnsi" w:cstheme="minorHAnsi"/>
          <w:bCs/>
          <w:sz w:val="22"/>
          <w:szCs w:val="22"/>
          <w:lang w:eastAsia="en-AU"/>
        </w:rPr>
        <w:t>a</w:t>
      </w:r>
      <w:r w:rsidR="00023E1F" w:rsidRPr="00023E1F">
        <w:rPr>
          <w:rFonts w:asciiTheme="minorHAnsi" w:hAnsiTheme="minorHAnsi" w:cstheme="minorHAnsi"/>
          <w:bCs/>
          <w:sz w:val="22"/>
          <w:szCs w:val="22"/>
          <w:lang w:eastAsia="en-AU"/>
        </w:rPr>
        <w:t>ppropriate post award management of funds including financial reporting and contract management</w:t>
      </w:r>
    </w:p>
    <w:p w:rsidR="004F23DB" w:rsidRDefault="004F23DB" w:rsidP="004F23DB">
      <w:pPr>
        <w:spacing w:after="200" w:line="269" w:lineRule="auto"/>
        <w:outlineLvl w:val="2"/>
        <w:rPr>
          <w:rFonts w:asciiTheme="minorHAnsi" w:hAnsiTheme="minorHAnsi" w:cstheme="minorHAnsi"/>
          <w:sz w:val="22"/>
          <w:szCs w:val="22"/>
        </w:rPr>
      </w:pPr>
      <w:r>
        <w:rPr>
          <w:rFonts w:asciiTheme="minorHAnsi" w:hAnsiTheme="minorHAnsi" w:cstheme="minorHAnsi"/>
          <w:bCs/>
          <w:sz w:val="22"/>
          <w:szCs w:val="22"/>
          <w:lang w:eastAsia="en-AU"/>
        </w:rPr>
        <w:t>The Division of Research</w:t>
      </w:r>
      <w:r w:rsidRPr="004F23DB">
        <w:rPr>
          <w:rFonts w:asciiTheme="minorHAnsi" w:hAnsiTheme="minorHAnsi" w:cstheme="minorHAnsi"/>
          <w:bCs/>
          <w:sz w:val="22"/>
          <w:szCs w:val="22"/>
          <w:lang w:eastAsia="en-AU"/>
        </w:rPr>
        <w:t xml:space="preserve"> has expertise in </w:t>
      </w:r>
      <w:r>
        <w:rPr>
          <w:rFonts w:asciiTheme="minorHAnsi" w:hAnsiTheme="minorHAnsi" w:cstheme="minorHAnsi"/>
          <w:bCs/>
          <w:sz w:val="22"/>
          <w:szCs w:val="22"/>
          <w:lang w:eastAsia="en-AU"/>
        </w:rPr>
        <w:t>completing proposals/applications for competitive grants and managing research projects.</w:t>
      </w:r>
    </w:p>
    <w:p w:rsidR="008B28EE" w:rsidRDefault="00023E1F" w:rsidP="00877F8F">
      <w:pPr>
        <w:spacing w:after="200" w:line="269" w:lineRule="auto"/>
        <w:rPr>
          <w:rFonts w:asciiTheme="minorHAnsi" w:hAnsiTheme="minorHAnsi" w:cstheme="minorHAnsi"/>
          <w:sz w:val="22"/>
          <w:szCs w:val="22"/>
        </w:rPr>
      </w:pPr>
      <w:r w:rsidRPr="00023E1F">
        <w:rPr>
          <w:rFonts w:asciiTheme="minorHAnsi" w:hAnsiTheme="minorHAnsi" w:cstheme="minorHAnsi"/>
          <w:sz w:val="22"/>
          <w:szCs w:val="22"/>
        </w:rPr>
        <w:lastRenderedPageBreak/>
        <w:t xml:space="preserve">Each Division may have overlapping interest with respect to some research funding. </w:t>
      </w:r>
      <w:r w:rsidR="00902072">
        <w:rPr>
          <w:rFonts w:asciiTheme="minorHAnsi" w:hAnsiTheme="minorHAnsi" w:cstheme="minorHAnsi"/>
          <w:sz w:val="22"/>
          <w:szCs w:val="22"/>
        </w:rPr>
        <w:t xml:space="preserve"> </w:t>
      </w:r>
      <w:r w:rsidRPr="00023E1F">
        <w:rPr>
          <w:rFonts w:asciiTheme="minorHAnsi" w:hAnsiTheme="minorHAnsi" w:cstheme="minorHAnsi"/>
          <w:sz w:val="22"/>
          <w:szCs w:val="22"/>
        </w:rPr>
        <w:t>For example, a philanthropic donor may also provide non-philanthropic funding for a research project; or a sou</w:t>
      </w:r>
      <w:r w:rsidR="004F23DB">
        <w:rPr>
          <w:rFonts w:asciiTheme="minorHAnsi" w:hAnsiTheme="minorHAnsi" w:cstheme="minorHAnsi"/>
          <w:sz w:val="22"/>
          <w:szCs w:val="22"/>
        </w:rPr>
        <w:t xml:space="preserve">rce of funding </w:t>
      </w:r>
      <w:r w:rsidRPr="00023E1F">
        <w:rPr>
          <w:rFonts w:asciiTheme="minorHAnsi" w:hAnsiTheme="minorHAnsi" w:cstheme="minorHAnsi"/>
          <w:sz w:val="22"/>
          <w:szCs w:val="22"/>
        </w:rPr>
        <w:t>may provide both philanthropic gifts/donations and non-philanthropic funding to undertake projects t</w:t>
      </w:r>
      <w:r w:rsidR="004F23DB">
        <w:rPr>
          <w:rFonts w:asciiTheme="minorHAnsi" w:hAnsiTheme="minorHAnsi" w:cstheme="minorHAnsi"/>
          <w:sz w:val="22"/>
          <w:szCs w:val="22"/>
        </w:rPr>
        <w:t>hat require research management.</w:t>
      </w:r>
    </w:p>
    <w:p w:rsidR="00902072" w:rsidRDefault="008B28EE" w:rsidP="00877F8F">
      <w:pPr>
        <w:spacing w:after="200" w:line="269" w:lineRule="auto"/>
        <w:rPr>
          <w:rFonts w:asciiTheme="minorHAnsi" w:hAnsiTheme="minorHAnsi" w:cstheme="minorHAnsi"/>
          <w:sz w:val="22"/>
          <w:szCs w:val="22"/>
        </w:rPr>
      </w:pPr>
      <w:r>
        <w:rPr>
          <w:rFonts w:asciiTheme="minorHAnsi" w:hAnsiTheme="minorHAnsi" w:cstheme="minorHAnsi"/>
          <w:sz w:val="22"/>
          <w:szCs w:val="22"/>
        </w:rPr>
        <w:t>Maintaining accurate data on each of these relationships is vital to ensure the stewardship of each contributor is managed consistently and appropriately across the University.</w:t>
      </w:r>
    </w:p>
    <w:p w:rsidR="00D50375" w:rsidRPr="00023E1F" w:rsidRDefault="00902072" w:rsidP="00877F8F">
      <w:pPr>
        <w:spacing w:after="200" w:line="269" w:lineRule="auto"/>
        <w:rPr>
          <w:rFonts w:asciiTheme="minorHAnsi" w:hAnsiTheme="minorHAnsi" w:cstheme="minorHAnsi"/>
          <w:sz w:val="22"/>
          <w:szCs w:val="22"/>
        </w:rPr>
      </w:pPr>
      <w:r>
        <w:rPr>
          <w:rFonts w:asciiTheme="minorHAnsi" w:hAnsiTheme="minorHAnsi" w:cstheme="minorHAnsi"/>
          <w:sz w:val="22"/>
          <w:szCs w:val="22"/>
        </w:rPr>
        <w:t xml:space="preserve">It is also important to ensure that </w:t>
      </w:r>
      <w:r w:rsidRPr="00023E1F">
        <w:rPr>
          <w:rFonts w:asciiTheme="minorHAnsi" w:hAnsiTheme="minorHAnsi" w:cstheme="minorHAnsi"/>
          <w:sz w:val="22"/>
          <w:szCs w:val="22"/>
        </w:rPr>
        <w:t xml:space="preserve">the </w:t>
      </w:r>
      <w:r>
        <w:rPr>
          <w:rFonts w:asciiTheme="minorHAnsi" w:hAnsiTheme="minorHAnsi" w:cstheme="minorHAnsi"/>
          <w:sz w:val="22"/>
          <w:szCs w:val="22"/>
        </w:rPr>
        <w:t xml:space="preserve">University </w:t>
      </w:r>
      <w:r w:rsidR="00970B62">
        <w:rPr>
          <w:rFonts w:asciiTheme="minorHAnsi" w:hAnsiTheme="minorHAnsi" w:cstheme="minorHAnsi"/>
          <w:sz w:val="22"/>
          <w:szCs w:val="22"/>
        </w:rPr>
        <w:t xml:space="preserve">is reporting accurately for the </w:t>
      </w:r>
      <w:r w:rsidRPr="00023E1F">
        <w:rPr>
          <w:rFonts w:asciiTheme="minorHAnsi" w:hAnsiTheme="minorHAnsi" w:cstheme="minorHAnsi"/>
          <w:sz w:val="22"/>
          <w:szCs w:val="22"/>
        </w:rPr>
        <w:t>Higher Education Research Data Collection (HERDC)</w:t>
      </w:r>
      <w:r w:rsidRPr="00023E1F">
        <w:rPr>
          <w:rStyle w:val="FootnoteReference"/>
          <w:rFonts w:asciiTheme="minorHAnsi" w:hAnsiTheme="minorHAnsi" w:cstheme="minorHAnsi"/>
          <w:sz w:val="22"/>
          <w:szCs w:val="22"/>
        </w:rPr>
        <w:t xml:space="preserve"> </w:t>
      </w:r>
      <w:r w:rsidRPr="00023E1F">
        <w:rPr>
          <w:rStyle w:val="FootnoteReference"/>
          <w:rFonts w:asciiTheme="minorHAnsi" w:hAnsiTheme="minorHAnsi" w:cstheme="minorHAnsi"/>
          <w:sz w:val="22"/>
          <w:szCs w:val="22"/>
        </w:rPr>
        <w:footnoteReference w:id="1"/>
      </w:r>
      <w:r w:rsidRPr="00023E1F">
        <w:rPr>
          <w:rFonts w:asciiTheme="minorHAnsi" w:hAnsiTheme="minorHAnsi" w:cstheme="minorHAnsi"/>
          <w:sz w:val="22"/>
          <w:szCs w:val="22"/>
        </w:rPr>
        <w:t xml:space="preserve">, </w:t>
      </w:r>
      <w:r w:rsidR="00970B62">
        <w:rPr>
          <w:rFonts w:asciiTheme="minorHAnsi" w:hAnsiTheme="minorHAnsi" w:cstheme="minorHAnsi"/>
          <w:sz w:val="22"/>
          <w:szCs w:val="22"/>
        </w:rPr>
        <w:t>and</w:t>
      </w:r>
      <w:r w:rsidR="00DB1861">
        <w:rPr>
          <w:rFonts w:asciiTheme="minorHAnsi" w:hAnsiTheme="minorHAnsi" w:cstheme="minorHAnsi"/>
          <w:sz w:val="22"/>
          <w:szCs w:val="22"/>
        </w:rPr>
        <w:t xml:space="preserve"> in</w:t>
      </w:r>
      <w:r w:rsidR="00970B62">
        <w:rPr>
          <w:rFonts w:asciiTheme="minorHAnsi" w:hAnsiTheme="minorHAnsi" w:cstheme="minorHAnsi"/>
          <w:sz w:val="22"/>
          <w:szCs w:val="22"/>
        </w:rPr>
        <w:t xml:space="preserve"> benchmarking activities</w:t>
      </w:r>
      <w:r w:rsidRPr="00023E1F">
        <w:rPr>
          <w:rFonts w:asciiTheme="minorHAnsi" w:hAnsiTheme="minorHAnsi" w:cstheme="minorHAnsi"/>
          <w:sz w:val="22"/>
          <w:szCs w:val="22"/>
        </w:rPr>
        <w:t xml:space="preserve"> such as the Go8 Benchmarking Survey</w:t>
      </w:r>
      <w:r w:rsidRPr="00023E1F">
        <w:rPr>
          <w:rStyle w:val="FootnoteReference"/>
          <w:rFonts w:asciiTheme="minorHAnsi" w:hAnsiTheme="minorHAnsi" w:cstheme="minorHAnsi"/>
          <w:sz w:val="22"/>
          <w:szCs w:val="22"/>
        </w:rPr>
        <w:footnoteReference w:id="2"/>
      </w:r>
      <w:r w:rsidR="00970B62">
        <w:rPr>
          <w:rFonts w:asciiTheme="minorHAnsi" w:hAnsiTheme="minorHAnsi" w:cstheme="minorHAnsi"/>
          <w:sz w:val="22"/>
          <w:szCs w:val="22"/>
        </w:rPr>
        <w:t>.</w:t>
      </w:r>
      <w:r w:rsidR="008B28EE">
        <w:rPr>
          <w:rFonts w:asciiTheme="minorHAnsi" w:hAnsiTheme="minorHAnsi" w:cstheme="minorHAnsi"/>
          <w:sz w:val="22"/>
          <w:szCs w:val="22"/>
        </w:rPr>
        <w:t xml:space="preserve">  This will be easier and more accurate if complete data on each contributor is available</w:t>
      </w:r>
      <w:r w:rsidR="001D29EB">
        <w:rPr>
          <w:rFonts w:asciiTheme="minorHAnsi" w:hAnsiTheme="minorHAnsi" w:cstheme="minorHAnsi"/>
          <w:sz w:val="22"/>
          <w:szCs w:val="22"/>
        </w:rPr>
        <w:t xml:space="preserve"> to all the stakeholders.</w:t>
      </w:r>
    </w:p>
    <w:p w:rsidR="00AC531A" w:rsidRPr="00023E1F" w:rsidRDefault="00AC531A" w:rsidP="00AC531A">
      <w:pPr>
        <w:pStyle w:val="ListParagraph"/>
        <w:numPr>
          <w:ilvl w:val="0"/>
          <w:numId w:val="11"/>
        </w:numPr>
        <w:spacing w:before="400" w:after="200" w:line="269" w:lineRule="auto"/>
        <w:contextualSpacing w:val="0"/>
        <w:rPr>
          <w:rFonts w:asciiTheme="minorHAnsi" w:hAnsiTheme="minorHAnsi" w:cstheme="minorHAnsi"/>
          <w:b/>
        </w:rPr>
      </w:pPr>
      <w:r>
        <w:rPr>
          <w:rFonts w:asciiTheme="minorHAnsi" w:hAnsiTheme="minorHAnsi" w:cstheme="minorHAnsi"/>
          <w:b/>
        </w:rPr>
        <w:t>DECISION FRAMEWORK - OVERVIEW</w:t>
      </w:r>
    </w:p>
    <w:p w:rsidR="00EA7E7F" w:rsidRDefault="00023E1F" w:rsidP="00877F8F">
      <w:pPr>
        <w:spacing w:after="200" w:line="269" w:lineRule="auto"/>
        <w:rPr>
          <w:rFonts w:asciiTheme="minorHAnsi" w:hAnsiTheme="minorHAnsi" w:cstheme="minorHAnsi"/>
          <w:sz w:val="22"/>
          <w:szCs w:val="22"/>
        </w:rPr>
      </w:pPr>
      <w:r w:rsidRPr="00023E1F">
        <w:rPr>
          <w:rFonts w:asciiTheme="minorHAnsi" w:hAnsiTheme="minorHAnsi" w:cstheme="minorHAnsi"/>
          <w:sz w:val="22"/>
          <w:szCs w:val="22"/>
        </w:rPr>
        <w:t>The</w:t>
      </w:r>
      <w:r w:rsidR="00295F3D">
        <w:rPr>
          <w:rFonts w:asciiTheme="minorHAnsi" w:hAnsiTheme="minorHAnsi" w:cstheme="minorHAnsi"/>
          <w:sz w:val="22"/>
          <w:szCs w:val="22"/>
        </w:rPr>
        <w:t xml:space="preserve">re is a need </w:t>
      </w:r>
      <w:r w:rsidRPr="00023E1F">
        <w:rPr>
          <w:rFonts w:asciiTheme="minorHAnsi" w:hAnsiTheme="minorHAnsi" w:cstheme="minorHAnsi"/>
          <w:sz w:val="22"/>
          <w:szCs w:val="22"/>
        </w:rPr>
        <w:t xml:space="preserve">to clarify </w:t>
      </w:r>
      <w:r w:rsidR="00295F3D">
        <w:rPr>
          <w:rFonts w:asciiTheme="minorHAnsi" w:hAnsiTheme="minorHAnsi" w:cstheme="minorHAnsi"/>
          <w:sz w:val="22"/>
          <w:szCs w:val="22"/>
        </w:rPr>
        <w:t xml:space="preserve">the </w:t>
      </w:r>
      <w:r w:rsidRPr="00023E1F">
        <w:rPr>
          <w:rFonts w:asciiTheme="minorHAnsi" w:hAnsiTheme="minorHAnsi" w:cstheme="minorHAnsi"/>
          <w:sz w:val="22"/>
          <w:szCs w:val="22"/>
        </w:rPr>
        <w:t>specific roles and responsibilities of each Division to coordinate and effectively harness the capabilities of each Division for maximum benefit to UNSW</w:t>
      </w:r>
      <w:r w:rsidR="001D29EB">
        <w:rPr>
          <w:rFonts w:asciiTheme="minorHAnsi" w:hAnsiTheme="minorHAnsi" w:cstheme="minorHAnsi"/>
          <w:sz w:val="22"/>
          <w:szCs w:val="22"/>
        </w:rPr>
        <w:t xml:space="preserve">. </w:t>
      </w:r>
      <w:r w:rsidR="00EA7E7F">
        <w:rPr>
          <w:rFonts w:asciiTheme="minorHAnsi" w:hAnsiTheme="minorHAnsi" w:cstheme="minorHAnsi"/>
          <w:sz w:val="22"/>
          <w:szCs w:val="22"/>
        </w:rPr>
        <w:t xml:space="preserve"> The key areas of expertise of each Division should be leveraged wherever possible.</w:t>
      </w:r>
    </w:p>
    <w:p w:rsidR="00023E1F" w:rsidRPr="00023E1F" w:rsidRDefault="00023E1F" w:rsidP="00877F8F">
      <w:pPr>
        <w:spacing w:after="200" w:line="269" w:lineRule="auto"/>
        <w:rPr>
          <w:rFonts w:asciiTheme="minorHAnsi" w:hAnsiTheme="minorHAnsi" w:cstheme="minorHAnsi"/>
          <w:sz w:val="22"/>
          <w:szCs w:val="22"/>
        </w:rPr>
      </w:pPr>
      <w:r w:rsidRPr="00023E1F">
        <w:rPr>
          <w:rFonts w:asciiTheme="minorHAnsi" w:hAnsiTheme="minorHAnsi" w:cstheme="minorHAnsi"/>
          <w:sz w:val="22"/>
          <w:szCs w:val="22"/>
        </w:rPr>
        <w:t>In the first instance, a decision framework is proposed which enables the classification of research income as either:</w:t>
      </w:r>
      <w:bookmarkStart w:id="0" w:name="_GoBack"/>
      <w:bookmarkEnd w:id="0"/>
    </w:p>
    <w:p w:rsidR="00023E1F" w:rsidRPr="00023E1F" w:rsidRDefault="00023E1F" w:rsidP="00877F8F">
      <w:pPr>
        <w:numPr>
          <w:ilvl w:val="0"/>
          <w:numId w:val="4"/>
        </w:numPr>
        <w:spacing w:after="200" w:line="269" w:lineRule="auto"/>
        <w:rPr>
          <w:rFonts w:asciiTheme="minorHAnsi" w:hAnsiTheme="minorHAnsi" w:cstheme="minorHAnsi"/>
          <w:sz w:val="22"/>
          <w:szCs w:val="22"/>
        </w:rPr>
      </w:pPr>
      <w:r w:rsidRPr="00023E1F">
        <w:rPr>
          <w:rFonts w:asciiTheme="minorHAnsi" w:hAnsiTheme="minorHAnsi" w:cstheme="minorHAnsi"/>
          <w:sz w:val="22"/>
          <w:szCs w:val="22"/>
        </w:rPr>
        <w:t>a philanthropic gift/sponsorship (managed primarily by the Division of Advancement);</w:t>
      </w:r>
    </w:p>
    <w:p w:rsidR="00EA7E7F" w:rsidRDefault="00023E1F" w:rsidP="00877F8F">
      <w:pPr>
        <w:numPr>
          <w:ilvl w:val="0"/>
          <w:numId w:val="4"/>
        </w:numPr>
        <w:spacing w:after="200" w:line="269" w:lineRule="auto"/>
        <w:rPr>
          <w:rFonts w:asciiTheme="minorHAnsi" w:hAnsiTheme="minorHAnsi" w:cstheme="minorHAnsi"/>
          <w:sz w:val="22"/>
          <w:szCs w:val="22"/>
        </w:rPr>
      </w:pPr>
      <w:proofErr w:type="gramStart"/>
      <w:r w:rsidRPr="00023E1F">
        <w:rPr>
          <w:rFonts w:asciiTheme="minorHAnsi" w:hAnsiTheme="minorHAnsi" w:cstheme="minorHAnsi"/>
          <w:sz w:val="22"/>
          <w:szCs w:val="22"/>
        </w:rPr>
        <w:t>research</w:t>
      </w:r>
      <w:proofErr w:type="gramEnd"/>
      <w:r w:rsidRPr="00023E1F">
        <w:rPr>
          <w:rFonts w:asciiTheme="minorHAnsi" w:hAnsiTheme="minorHAnsi" w:cstheme="minorHAnsi"/>
          <w:sz w:val="22"/>
          <w:szCs w:val="22"/>
        </w:rPr>
        <w:t xml:space="preserve"> funding where there is no philanthropic intent such as income arising from a research grant application or a research contract (managed primarily by the Division of Research)</w:t>
      </w:r>
      <w:r w:rsidR="00EA7E7F">
        <w:rPr>
          <w:rFonts w:asciiTheme="minorHAnsi" w:hAnsiTheme="minorHAnsi" w:cstheme="minorHAnsi"/>
          <w:sz w:val="22"/>
          <w:szCs w:val="22"/>
        </w:rPr>
        <w:t>.</w:t>
      </w:r>
    </w:p>
    <w:p w:rsidR="00482376" w:rsidRDefault="00482376" w:rsidP="00877F8F">
      <w:pPr>
        <w:spacing w:after="200" w:line="269" w:lineRule="auto"/>
        <w:rPr>
          <w:rFonts w:asciiTheme="minorHAnsi" w:hAnsiTheme="minorHAnsi" w:cstheme="minorHAnsi"/>
          <w:sz w:val="22"/>
          <w:szCs w:val="22"/>
        </w:rPr>
      </w:pPr>
      <w:r>
        <w:rPr>
          <w:rFonts w:asciiTheme="minorHAnsi" w:hAnsiTheme="minorHAnsi" w:cstheme="minorHAnsi"/>
          <w:sz w:val="22"/>
          <w:szCs w:val="22"/>
        </w:rPr>
        <w:t>Please see section 3.2 for contributions from Trusts and Foundations.</w:t>
      </w:r>
    </w:p>
    <w:p w:rsidR="00023E1F" w:rsidRPr="00023E1F" w:rsidRDefault="00023E1F" w:rsidP="00877F8F">
      <w:pPr>
        <w:spacing w:after="200" w:line="269" w:lineRule="auto"/>
        <w:rPr>
          <w:rFonts w:asciiTheme="minorHAnsi" w:hAnsiTheme="minorHAnsi" w:cstheme="minorHAnsi"/>
          <w:sz w:val="22"/>
          <w:szCs w:val="22"/>
        </w:rPr>
      </w:pPr>
      <w:r w:rsidRPr="00023E1F">
        <w:rPr>
          <w:rFonts w:asciiTheme="minorHAnsi" w:hAnsiTheme="minorHAnsi" w:cstheme="minorHAnsi"/>
          <w:sz w:val="22"/>
          <w:szCs w:val="22"/>
        </w:rPr>
        <w:t xml:space="preserve">Even where funding is managed primarily by one Division, there is no intention to preclude a role for the other in line with the specific capabilities mentioned above. </w:t>
      </w:r>
      <w:r w:rsidR="00AF42F0">
        <w:rPr>
          <w:rFonts w:asciiTheme="minorHAnsi" w:hAnsiTheme="minorHAnsi" w:cstheme="minorHAnsi"/>
          <w:sz w:val="22"/>
          <w:szCs w:val="22"/>
        </w:rPr>
        <w:t xml:space="preserve"> </w:t>
      </w:r>
      <w:r w:rsidRPr="00023E1F">
        <w:rPr>
          <w:rFonts w:asciiTheme="minorHAnsi" w:hAnsiTheme="minorHAnsi" w:cstheme="minorHAnsi"/>
          <w:sz w:val="22"/>
          <w:szCs w:val="22"/>
        </w:rPr>
        <w:t xml:space="preserve">For example, the Division of Advancement is interested in knowing about all interactions with external funding sources from a CRM perspective regardless of the type or source of funding. </w:t>
      </w:r>
      <w:r w:rsidR="00AF42F0">
        <w:rPr>
          <w:rFonts w:asciiTheme="minorHAnsi" w:hAnsiTheme="minorHAnsi" w:cstheme="minorHAnsi"/>
          <w:sz w:val="22"/>
          <w:szCs w:val="22"/>
        </w:rPr>
        <w:t xml:space="preserve"> </w:t>
      </w:r>
      <w:r w:rsidRPr="00023E1F">
        <w:rPr>
          <w:rFonts w:asciiTheme="minorHAnsi" w:hAnsiTheme="minorHAnsi" w:cstheme="minorHAnsi"/>
          <w:sz w:val="22"/>
          <w:szCs w:val="22"/>
        </w:rPr>
        <w:t>Similarly, the Division of Research is responsible for risk management and compliance for research projects regardless of the type or source of funding.</w:t>
      </w:r>
    </w:p>
    <w:p w:rsidR="00EE6288" w:rsidRPr="00300047" w:rsidRDefault="00300047">
      <w:pPr>
        <w:spacing w:after="200" w:line="276" w:lineRule="auto"/>
        <w:rPr>
          <w:rFonts w:asciiTheme="minorHAnsi" w:hAnsiTheme="minorHAnsi" w:cstheme="minorHAnsi"/>
          <w:sz w:val="22"/>
          <w:szCs w:val="22"/>
        </w:rPr>
      </w:pPr>
      <w:r w:rsidRPr="00300047">
        <w:rPr>
          <w:rFonts w:asciiTheme="minorHAnsi" w:hAnsiTheme="minorHAnsi" w:cstheme="minorHAnsi"/>
          <w:sz w:val="22"/>
          <w:szCs w:val="22"/>
        </w:rPr>
        <w:t>The fol</w:t>
      </w:r>
      <w:r>
        <w:rPr>
          <w:rFonts w:asciiTheme="minorHAnsi" w:hAnsiTheme="minorHAnsi" w:cstheme="minorHAnsi"/>
          <w:sz w:val="22"/>
          <w:szCs w:val="22"/>
        </w:rPr>
        <w:t>lowing framework outlines how to decide which Division should take responsibility for managing external funding for research projects.</w:t>
      </w:r>
    </w:p>
    <w:p w:rsidR="00EA7E7F" w:rsidRDefault="00EA7E7F">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023E1F" w:rsidRPr="00023E1F" w:rsidRDefault="00300047" w:rsidP="00877F8F">
      <w:pPr>
        <w:spacing w:after="200" w:line="269" w:lineRule="auto"/>
        <w:rPr>
          <w:rFonts w:asciiTheme="minorHAnsi" w:hAnsiTheme="minorHAnsi" w:cstheme="minorHAnsi"/>
          <w:b/>
          <w:sz w:val="22"/>
          <w:szCs w:val="22"/>
        </w:rPr>
      </w:pPr>
      <w:r>
        <w:rPr>
          <w:rFonts w:asciiTheme="minorHAnsi" w:hAnsiTheme="minorHAnsi" w:cstheme="minorHAnsi"/>
          <w:b/>
          <w:sz w:val="22"/>
          <w:szCs w:val="22"/>
        </w:rPr>
        <w:lastRenderedPageBreak/>
        <w:t>3</w:t>
      </w:r>
      <w:r w:rsidR="00AF42F0">
        <w:rPr>
          <w:rFonts w:asciiTheme="minorHAnsi" w:hAnsiTheme="minorHAnsi" w:cstheme="minorHAnsi"/>
          <w:b/>
          <w:sz w:val="22"/>
          <w:szCs w:val="22"/>
        </w:rPr>
        <w:t>.1</w:t>
      </w:r>
      <w:r w:rsidR="00AF42F0">
        <w:rPr>
          <w:rFonts w:asciiTheme="minorHAnsi" w:hAnsiTheme="minorHAnsi" w:cstheme="minorHAnsi"/>
          <w:b/>
          <w:sz w:val="22"/>
          <w:szCs w:val="22"/>
        </w:rPr>
        <w:tab/>
      </w:r>
      <w:r w:rsidR="00023E1F" w:rsidRPr="00023E1F">
        <w:rPr>
          <w:rFonts w:asciiTheme="minorHAnsi" w:hAnsiTheme="minorHAnsi" w:cstheme="minorHAnsi"/>
          <w:b/>
          <w:sz w:val="22"/>
          <w:szCs w:val="22"/>
        </w:rPr>
        <w:t>Decision Framework</w:t>
      </w:r>
    </w:p>
    <w:p w:rsidR="000245CC" w:rsidRPr="00E97D5D" w:rsidRDefault="00AF42F0" w:rsidP="000245CC">
      <w:pPr>
        <w:spacing w:after="200" w:line="269" w:lineRule="auto"/>
        <w:rPr>
          <w:lang w:val="en-AU"/>
        </w:rPr>
      </w:pPr>
      <w:r>
        <w:rPr>
          <w:rFonts w:asciiTheme="minorHAnsi" w:hAnsiTheme="minorHAnsi" w:cstheme="minorHAnsi"/>
          <w:bCs/>
          <w:sz w:val="22"/>
          <w:szCs w:val="22"/>
          <w:lang w:eastAsia="en-AU"/>
        </w:rPr>
        <w:t xml:space="preserve">The following framework </w:t>
      </w:r>
      <w:r w:rsidR="00BF1891">
        <w:rPr>
          <w:rFonts w:asciiTheme="minorHAnsi" w:hAnsiTheme="minorHAnsi" w:cstheme="minorHAnsi"/>
          <w:bCs/>
          <w:sz w:val="22"/>
          <w:szCs w:val="22"/>
          <w:lang w:eastAsia="en-AU"/>
        </w:rPr>
        <w:t>will</w:t>
      </w:r>
      <w:r>
        <w:rPr>
          <w:rFonts w:asciiTheme="minorHAnsi" w:hAnsiTheme="minorHAnsi" w:cstheme="minorHAnsi"/>
          <w:bCs/>
          <w:sz w:val="22"/>
          <w:szCs w:val="22"/>
          <w:lang w:eastAsia="en-AU"/>
        </w:rPr>
        <w:t xml:space="preserve"> be used </w:t>
      </w:r>
      <w:r w:rsidR="0004466B">
        <w:rPr>
          <w:rFonts w:asciiTheme="minorHAnsi" w:hAnsiTheme="minorHAnsi" w:cstheme="minorHAnsi"/>
          <w:bCs/>
          <w:sz w:val="22"/>
          <w:szCs w:val="22"/>
          <w:lang w:eastAsia="en-AU"/>
        </w:rPr>
        <w:t xml:space="preserve">to classify </w:t>
      </w:r>
      <w:r w:rsidR="00BF1891">
        <w:rPr>
          <w:rFonts w:asciiTheme="minorHAnsi" w:hAnsiTheme="minorHAnsi" w:cstheme="minorHAnsi"/>
          <w:bCs/>
          <w:sz w:val="22"/>
          <w:szCs w:val="22"/>
          <w:lang w:eastAsia="en-AU"/>
        </w:rPr>
        <w:t xml:space="preserve">which Division should be responsible for </w:t>
      </w:r>
      <w:r w:rsidR="0004466B">
        <w:rPr>
          <w:rFonts w:asciiTheme="minorHAnsi" w:hAnsiTheme="minorHAnsi" w:cstheme="minorHAnsi"/>
          <w:bCs/>
          <w:sz w:val="22"/>
          <w:szCs w:val="22"/>
          <w:lang w:eastAsia="en-AU"/>
        </w:rPr>
        <w:t>research income</w:t>
      </w:r>
      <w:r w:rsidR="00857233">
        <w:rPr>
          <w:rFonts w:asciiTheme="minorHAnsi" w:hAnsiTheme="minorHAnsi" w:cstheme="minorHAnsi"/>
          <w:bCs/>
          <w:sz w:val="22"/>
          <w:szCs w:val="22"/>
          <w:lang w:eastAsia="en-AU"/>
        </w:rPr>
        <w:t xml:space="preserve">.  </w:t>
      </w:r>
      <w:r w:rsidR="000245CC" w:rsidRPr="000245CC">
        <w:rPr>
          <w:rFonts w:ascii="Arial" w:hAnsi="Arial" w:cs="Arial"/>
          <w:sz w:val="22"/>
          <w:szCs w:val="22"/>
          <w:lang w:val="en-AU"/>
        </w:rPr>
        <w:t>If one or more of the criteria in a column are relevant, then the contribution will be managed by that Division.</w:t>
      </w:r>
    </w:p>
    <w:tbl>
      <w:tblPr>
        <w:tblStyle w:val="LightList"/>
        <w:tblW w:w="10031" w:type="dxa"/>
        <w:tblLayout w:type="fixed"/>
        <w:tblLook w:val="04A0"/>
      </w:tblPr>
      <w:tblGrid>
        <w:gridCol w:w="2093"/>
        <w:gridCol w:w="3997"/>
        <w:gridCol w:w="3941"/>
      </w:tblGrid>
      <w:tr w:rsidR="00023E1F" w:rsidRPr="00C6388C" w:rsidTr="00C6388C">
        <w:trPr>
          <w:cnfStyle w:val="100000000000"/>
          <w:tblHeader/>
        </w:trPr>
        <w:tc>
          <w:tcPr>
            <w:cnfStyle w:val="001000000000"/>
            <w:tcW w:w="2093" w:type="dxa"/>
          </w:tcPr>
          <w:p w:rsidR="00023E1F" w:rsidRPr="00C6388C" w:rsidRDefault="00023E1F" w:rsidP="00877F8F">
            <w:pPr>
              <w:spacing w:after="120"/>
              <w:outlineLvl w:val="2"/>
              <w:rPr>
                <w:rFonts w:asciiTheme="minorHAnsi" w:hAnsiTheme="minorHAnsi" w:cstheme="minorHAnsi"/>
                <w:bCs w:val="0"/>
                <w:sz w:val="20"/>
                <w:szCs w:val="20"/>
                <w:lang w:eastAsia="en-AU"/>
              </w:rPr>
            </w:pPr>
            <w:r w:rsidRPr="00C6388C">
              <w:rPr>
                <w:rFonts w:asciiTheme="minorHAnsi" w:hAnsiTheme="minorHAnsi" w:cstheme="minorHAnsi"/>
                <w:bCs w:val="0"/>
                <w:sz w:val="20"/>
                <w:szCs w:val="20"/>
                <w:lang w:eastAsia="en-AU"/>
              </w:rPr>
              <w:t>Determining “Material Benefit”</w:t>
            </w:r>
          </w:p>
        </w:tc>
        <w:tc>
          <w:tcPr>
            <w:tcW w:w="3997" w:type="dxa"/>
          </w:tcPr>
          <w:p w:rsidR="00023E1F" w:rsidRPr="00C6388C" w:rsidRDefault="00023E1F" w:rsidP="00877F8F">
            <w:pPr>
              <w:spacing w:after="120"/>
              <w:jc w:val="center"/>
              <w:outlineLvl w:val="2"/>
              <w:cnfStyle w:val="100000000000"/>
              <w:rPr>
                <w:rFonts w:asciiTheme="minorHAnsi" w:hAnsiTheme="minorHAnsi" w:cstheme="minorHAnsi"/>
                <w:bCs w:val="0"/>
                <w:sz w:val="20"/>
                <w:szCs w:val="20"/>
                <w:lang w:eastAsia="en-AU"/>
              </w:rPr>
            </w:pPr>
            <w:r w:rsidRPr="00C6388C">
              <w:rPr>
                <w:rFonts w:asciiTheme="minorHAnsi" w:hAnsiTheme="minorHAnsi" w:cstheme="minorHAnsi"/>
                <w:bCs w:val="0"/>
                <w:sz w:val="20"/>
                <w:szCs w:val="20"/>
                <w:lang w:eastAsia="en-AU"/>
              </w:rPr>
              <w:t>Philanthropic Gift/Sponsorship</w:t>
            </w:r>
          </w:p>
          <w:p w:rsidR="0004466B" w:rsidRPr="00C6388C" w:rsidRDefault="00877F8F" w:rsidP="00877F8F">
            <w:pPr>
              <w:spacing w:after="120"/>
              <w:jc w:val="center"/>
              <w:outlineLvl w:val="2"/>
              <w:cnfStyle w:val="100000000000"/>
              <w:rPr>
                <w:rFonts w:asciiTheme="minorHAnsi" w:hAnsiTheme="minorHAnsi" w:cstheme="minorHAnsi"/>
                <w:bCs w:val="0"/>
                <w:sz w:val="20"/>
                <w:szCs w:val="20"/>
                <w:lang w:eastAsia="en-AU"/>
              </w:rPr>
            </w:pPr>
            <w:r>
              <w:rPr>
                <w:rFonts w:asciiTheme="minorHAnsi" w:hAnsiTheme="minorHAnsi" w:cstheme="minorHAnsi"/>
                <w:bCs w:val="0"/>
                <w:sz w:val="20"/>
                <w:szCs w:val="20"/>
                <w:lang w:eastAsia="en-AU"/>
              </w:rPr>
              <w:t>M</w:t>
            </w:r>
            <w:r w:rsidR="0004466B" w:rsidRPr="00C6388C">
              <w:rPr>
                <w:rFonts w:asciiTheme="minorHAnsi" w:hAnsiTheme="minorHAnsi" w:cstheme="minorHAnsi"/>
                <w:bCs w:val="0"/>
                <w:sz w:val="20"/>
                <w:szCs w:val="20"/>
                <w:lang w:eastAsia="en-AU"/>
              </w:rPr>
              <w:t>anaged by the Division of Advancement</w:t>
            </w:r>
          </w:p>
        </w:tc>
        <w:tc>
          <w:tcPr>
            <w:tcW w:w="3941" w:type="dxa"/>
          </w:tcPr>
          <w:p w:rsidR="00023E1F" w:rsidRPr="00C6388C" w:rsidRDefault="00023E1F" w:rsidP="00877F8F">
            <w:pPr>
              <w:spacing w:after="120"/>
              <w:jc w:val="center"/>
              <w:outlineLvl w:val="2"/>
              <w:cnfStyle w:val="100000000000"/>
              <w:rPr>
                <w:rFonts w:asciiTheme="minorHAnsi" w:hAnsiTheme="minorHAnsi" w:cstheme="minorHAnsi"/>
                <w:bCs w:val="0"/>
                <w:sz w:val="20"/>
                <w:szCs w:val="20"/>
                <w:lang w:eastAsia="en-AU"/>
              </w:rPr>
            </w:pPr>
            <w:r w:rsidRPr="00C6388C">
              <w:rPr>
                <w:rFonts w:asciiTheme="minorHAnsi" w:hAnsiTheme="minorHAnsi" w:cstheme="minorHAnsi"/>
                <w:bCs w:val="0"/>
                <w:sz w:val="20"/>
                <w:szCs w:val="20"/>
                <w:lang w:eastAsia="en-AU"/>
              </w:rPr>
              <w:t>Research Funding</w:t>
            </w:r>
            <w:r w:rsidR="00AF42F0" w:rsidRPr="00C6388C">
              <w:rPr>
                <w:rFonts w:asciiTheme="minorHAnsi" w:hAnsiTheme="minorHAnsi" w:cstheme="minorHAnsi"/>
                <w:bCs w:val="0"/>
                <w:sz w:val="20"/>
                <w:szCs w:val="20"/>
                <w:lang w:eastAsia="en-AU"/>
              </w:rPr>
              <w:t xml:space="preserve"> </w:t>
            </w:r>
            <w:r w:rsidRPr="00C6388C">
              <w:rPr>
                <w:rFonts w:asciiTheme="minorHAnsi" w:hAnsiTheme="minorHAnsi" w:cstheme="minorHAnsi"/>
                <w:bCs w:val="0"/>
                <w:sz w:val="20"/>
                <w:szCs w:val="20"/>
                <w:lang w:eastAsia="en-AU"/>
              </w:rPr>
              <w:t>where t</w:t>
            </w:r>
            <w:r w:rsidR="0004466B" w:rsidRPr="00C6388C">
              <w:rPr>
                <w:rFonts w:asciiTheme="minorHAnsi" w:hAnsiTheme="minorHAnsi" w:cstheme="minorHAnsi"/>
                <w:bCs w:val="0"/>
                <w:sz w:val="20"/>
                <w:szCs w:val="20"/>
                <w:lang w:eastAsia="en-AU"/>
              </w:rPr>
              <w:t>here is no philanthropic intent</w:t>
            </w:r>
            <w:r w:rsidR="00877F8F">
              <w:rPr>
                <w:rFonts w:asciiTheme="minorHAnsi" w:hAnsiTheme="minorHAnsi" w:cstheme="minorHAnsi"/>
                <w:bCs w:val="0"/>
                <w:sz w:val="20"/>
                <w:szCs w:val="20"/>
                <w:lang w:eastAsia="en-AU"/>
              </w:rPr>
              <w:t xml:space="preserve"> </w:t>
            </w:r>
            <w:r w:rsidRPr="00C6388C">
              <w:rPr>
                <w:rFonts w:asciiTheme="minorHAnsi" w:hAnsiTheme="minorHAnsi" w:cstheme="minorHAnsi"/>
                <w:bCs w:val="0"/>
                <w:sz w:val="20"/>
                <w:szCs w:val="20"/>
                <w:lang w:eastAsia="en-AU"/>
              </w:rPr>
              <w:t>(grant application/contract)</w:t>
            </w:r>
          </w:p>
          <w:p w:rsidR="0004466B" w:rsidRPr="00C6388C" w:rsidRDefault="0004466B" w:rsidP="00877F8F">
            <w:pPr>
              <w:spacing w:after="120"/>
              <w:jc w:val="center"/>
              <w:outlineLvl w:val="2"/>
              <w:cnfStyle w:val="100000000000"/>
              <w:rPr>
                <w:rFonts w:asciiTheme="minorHAnsi" w:hAnsiTheme="minorHAnsi" w:cstheme="minorHAnsi"/>
                <w:bCs w:val="0"/>
                <w:sz w:val="20"/>
                <w:szCs w:val="20"/>
                <w:lang w:eastAsia="en-AU"/>
              </w:rPr>
            </w:pPr>
            <w:r w:rsidRPr="00C6388C">
              <w:rPr>
                <w:rFonts w:asciiTheme="minorHAnsi" w:hAnsiTheme="minorHAnsi" w:cstheme="minorHAnsi"/>
                <w:bCs w:val="0"/>
                <w:sz w:val="20"/>
                <w:szCs w:val="20"/>
                <w:lang w:eastAsia="en-AU"/>
              </w:rPr>
              <w:t>Managed by the Division of Research</w:t>
            </w:r>
          </w:p>
        </w:tc>
      </w:tr>
      <w:tr w:rsidR="00023E1F" w:rsidRPr="00C6388C" w:rsidTr="00C6388C">
        <w:trPr>
          <w:cnfStyle w:val="000000100000"/>
        </w:trPr>
        <w:tc>
          <w:tcPr>
            <w:cnfStyle w:val="001000000000"/>
            <w:tcW w:w="2093" w:type="dxa"/>
          </w:tcPr>
          <w:p w:rsidR="00023E1F" w:rsidRPr="00C6388C" w:rsidRDefault="00023E1F" w:rsidP="00877F8F">
            <w:pPr>
              <w:spacing w:after="120"/>
              <w:outlineLvl w:val="2"/>
              <w:rPr>
                <w:rFonts w:asciiTheme="minorHAnsi" w:hAnsiTheme="minorHAnsi" w:cstheme="minorHAnsi"/>
                <w:bCs w:val="0"/>
                <w:i/>
                <w:sz w:val="20"/>
                <w:szCs w:val="20"/>
                <w:lang w:eastAsia="en-AU"/>
              </w:rPr>
            </w:pPr>
            <w:r w:rsidRPr="00C6388C">
              <w:rPr>
                <w:rFonts w:asciiTheme="minorHAnsi" w:hAnsiTheme="minorHAnsi" w:cstheme="minorHAnsi"/>
                <w:bCs w:val="0"/>
                <w:i/>
                <w:sz w:val="20"/>
                <w:szCs w:val="20"/>
                <w:lang w:eastAsia="en-AU"/>
              </w:rPr>
              <w:t>Business Interest/ Restrictions</w:t>
            </w:r>
          </w:p>
        </w:tc>
        <w:tc>
          <w:tcPr>
            <w:tcW w:w="3997" w:type="dxa"/>
          </w:tcPr>
          <w:p w:rsidR="00023E1F" w:rsidRPr="00C6388C" w:rsidRDefault="00023E1F" w:rsidP="00877F8F">
            <w:pPr>
              <w:numPr>
                <w:ilvl w:val="0"/>
                <w:numId w:val="6"/>
              </w:numPr>
              <w:spacing w:after="120"/>
              <w:outlineLvl w:val="2"/>
              <w:cnfStyle w:val="000000100000"/>
              <w:rPr>
                <w:rFonts w:asciiTheme="minorHAnsi" w:hAnsiTheme="minorHAnsi" w:cstheme="minorHAnsi"/>
                <w:bCs/>
                <w:sz w:val="20"/>
                <w:szCs w:val="20"/>
                <w:lang w:eastAsia="en-AU"/>
              </w:rPr>
            </w:pPr>
            <w:r w:rsidRPr="00C6388C">
              <w:rPr>
                <w:rFonts w:asciiTheme="minorHAnsi" w:hAnsiTheme="minorHAnsi" w:cstheme="minorHAnsi"/>
                <w:bCs/>
                <w:sz w:val="20"/>
                <w:szCs w:val="20"/>
                <w:lang w:eastAsia="en-AU"/>
              </w:rPr>
              <w:t>Agreed stewardship actions from the recipient to donor</w:t>
            </w:r>
          </w:p>
          <w:p w:rsidR="00023E1F" w:rsidRPr="00C6388C" w:rsidRDefault="00023E1F" w:rsidP="00877F8F">
            <w:pPr>
              <w:numPr>
                <w:ilvl w:val="0"/>
                <w:numId w:val="6"/>
              </w:numPr>
              <w:spacing w:after="120"/>
              <w:outlineLvl w:val="2"/>
              <w:cnfStyle w:val="000000100000"/>
              <w:rPr>
                <w:rFonts w:asciiTheme="minorHAnsi" w:hAnsiTheme="minorHAnsi" w:cstheme="minorHAnsi"/>
                <w:bCs/>
                <w:sz w:val="20"/>
                <w:szCs w:val="20"/>
                <w:lang w:eastAsia="en-AU"/>
              </w:rPr>
            </w:pPr>
            <w:r w:rsidRPr="00C6388C">
              <w:rPr>
                <w:rFonts w:asciiTheme="minorHAnsi" w:hAnsiTheme="minorHAnsi" w:cstheme="minorHAnsi"/>
                <w:sz w:val="20"/>
                <w:szCs w:val="20"/>
              </w:rPr>
              <w:t>May be related to the broad business interests or mission of the donor but no expectation of commercial outcomes as a result of the contribution</w:t>
            </w:r>
          </w:p>
          <w:p w:rsidR="00023E1F" w:rsidRPr="00C6388C" w:rsidRDefault="00DD3569" w:rsidP="00877F8F">
            <w:pPr>
              <w:numPr>
                <w:ilvl w:val="0"/>
                <w:numId w:val="6"/>
              </w:numPr>
              <w:spacing w:after="120"/>
              <w:outlineLvl w:val="2"/>
              <w:cnfStyle w:val="000000100000"/>
              <w:rPr>
                <w:rFonts w:asciiTheme="minorHAnsi" w:hAnsiTheme="minorHAnsi" w:cstheme="minorHAnsi"/>
                <w:bCs/>
                <w:sz w:val="20"/>
                <w:szCs w:val="20"/>
                <w:lang w:eastAsia="en-AU"/>
              </w:rPr>
            </w:pPr>
            <w:r>
              <w:rPr>
                <w:rFonts w:asciiTheme="minorHAnsi" w:hAnsiTheme="minorHAnsi" w:cstheme="minorHAnsi"/>
                <w:sz w:val="20"/>
                <w:szCs w:val="20"/>
              </w:rPr>
              <w:t>May be an u</w:t>
            </w:r>
            <w:r w:rsidR="00023E1F" w:rsidRPr="00C6388C">
              <w:rPr>
                <w:rFonts w:asciiTheme="minorHAnsi" w:hAnsiTheme="minorHAnsi" w:cstheme="minorHAnsi"/>
                <w:sz w:val="20"/>
                <w:szCs w:val="20"/>
              </w:rPr>
              <w:t>nrestricted donation to the University, or a donation whose uses may be restricted to an academic area or to a defined group or academic, department or other University activities (a “restricted gift”)</w:t>
            </w:r>
            <w:r>
              <w:rPr>
                <w:rFonts w:asciiTheme="minorHAnsi" w:hAnsiTheme="minorHAnsi" w:cstheme="minorHAnsi"/>
                <w:sz w:val="20"/>
                <w:szCs w:val="20"/>
              </w:rPr>
              <w:t xml:space="preserve">.  In the case of a restricted gift, </w:t>
            </w:r>
            <w:r w:rsidR="00023E1F" w:rsidRPr="00C6388C">
              <w:rPr>
                <w:rFonts w:asciiTheme="minorHAnsi" w:hAnsiTheme="minorHAnsi" w:cstheme="minorHAnsi"/>
                <w:sz w:val="20"/>
                <w:szCs w:val="20"/>
              </w:rPr>
              <w:t xml:space="preserve">the department or faculty member typically would have only broad discretion as to the design and implementation of, and specific expenditures to support, specific academic activities for which funds received would be used. </w:t>
            </w:r>
          </w:p>
          <w:p w:rsidR="00023E1F" w:rsidRPr="00877F8F" w:rsidRDefault="00FA1034" w:rsidP="00877F8F">
            <w:pPr>
              <w:keepNext/>
              <w:keepLines/>
              <w:numPr>
                <w:ilvl w:val="0"/>
                <w:numId w:val="6"/>
              </w:numPr>
              <w:spacing w:after="120"/>
              <w:ind w:left="357" w:hanging="357"/>
              <w:outlineLvl w:val="2"/>
              <w:cnfStyle w:val="000000100000"/>
              <w:rPr>
                <w:rFonts w:asciiTheme="minorHAnsi" w:hAnsiTheme="minorHAnsi" w:cstheme="minorHAnsi"/>
                <w:bCs/>
                <w:sz w:val="20"/>
                <w:szCs w:val="20"/>
                <w:lang w:eastAsia="en-AU"/>
              </w:rPr>
            </w:pPr>
            <w:r>
              <w:rPr>
                <w:rFonts w:asciiTheme="minorHAnsi" w:hAnsiTheme="minorHAnsi" w:cstheme="minorHAnsi"/>
                <w:bCs/>
                <w:sz w:val="20"/>
                <w:szCs w:val="20"/>
                <w:lang w:eastAsia="en-AU"/>
              </w:rPr>
              <w:t>Donor</w:t>
            </w:r>
            <w:r w:rsidR="00023E1F" w:rsidRPr="00C6388C">
              <w:rPr>
                <w:rFonts w:asciiTheme="minorHAnsi" w:hAnsiTheme="minorHAnsi" w:cstheme="minorHAnsi"/>
                <w:bCs/>
                <w:sz w:val="20"/>
                <w:szCs w:val="20"/>
                <w:lang w:eastAsia="en-AU"/>
              </w:rPr>
              <w:t xml:space="preserve"> benefits are not related to the outcomes of research (for example could be advertising or publicity; access to students for holiday </w:t>
            </w:r>
            <w:proofErr w:type="spellStart"/>
            <w:r w:rsidR="00023E1F" w:rsidRPr="00C6388C">
              <w:rPr>
                <w:rFonts w:asciiTheme="minorHAnsi" w:hAnsiTheme="minorHAnsi" w:cstheme="minorHAnsi"/>
                <w:bCs/>
                <w:sz w:val="20"/>
                <w:szCs w:val="20"/>
                <w:lang w:eastAsia="en-AU"/>
              </w:rPr>
              <w:t>secondments</w:t>
            </w:r>
            <w:proofErr w:type="spellEnd"/>
            <w:r w:rsidR="00023E1F" w:rsidRPr="00C6388C">
              <w:rPr>
                <w:rFonts w:asciiTheme="minorHAnsi" w:hAnsiTheme="minorHAnsi" w:cstheme="minorHAnsi"/>
                <w:bCs/>
                <w:sz w:val="20"/>
                <w:szCs w:val="20"/>
                <w:lang w:eastAsia="en-AU"/>
              </w:rPr>
              <w:t xml:space="preserve"> or internships; represented on selection panels</w:t>
            </w:r>
            <w:r>
              <w:rPr>
                <w:rFonts w:asciiTheme="minorHAnsi" w:hAnsiTheme="minorHAnsi" w:cstheme="minorHAnsi"/>
                <w:bCs/>
                <w:sz w:val="20"/>
                <w:szCs w:val="20"/>
                <w:lang w:eastAsia="en-AU"/>
              </w:rPr>
              <w:t>)</w:t>
            </w:r>
            <w:r w:rsidR="00023E1F" w:rsidRPr="00C6388C">
              <w:rPr>
                <w:rFonts w:asciiTheme="minorHAnsi" w:hAnsiTheme="minorHAnsi" w:cstheme="minorHAnsi"/>
                <w:bCs/>
                <w:sz w:val="20"/>
                <w:szCs w:val="20"/>
                <w:lang w:eastAsia="en-AU"/>
              </w:rPr>
              <w:t>.</w:t>
            </w:r>
          </w:p>
        </w:tc>
        <w:tc>
          <w:tcPr>
            <w:tcW w:w="3941" w:type="dxa"/>
          </w:tcPr>
          <w:p w:rsidR="00023E1F" w:rsidRPr="00C6388C" w:rsidRDefault="00023E1F" w:rsidP="00877F8F">
            <w:pPr>
              <w:numPr>
                <w:ilvl w:val="0"/>
                <w:numId w:val="6"/>
              </w:numPr>
              <w:spacing w:after="120"/>
              <w:outlineLvl w:val="2"/>
              <w:cnfStyle w:val="000000100000"/>
              <w:rPr>
                <w:rFonts w:asciiTheme="minorHAnsi" w:hAnsiTheme="minorHAnsi" w:cstheme="minorHAnsi"/>
                <w:bCs/>
                <w:sz w:val="20"/>
                <w:szCs w:val="20"/>
                <w:lang w:eastAsia="en-AU"/>
              </w:rPr>
            </w:pPr>
            <w:r w:rsidRPr="00C6388C">
              <w:rPr>
                <w:rFonts w:asciiTheme="minorHAnsi" w:hAnsiTheme="minorHAnsi" w:cstheme="minorHAnsi"/>
                <w:sz w:val="20"/>
                <w:szCs w:val="20"/>
              </w:rPr>
              <w:t>The business interests or mission of the sponsor is most often related directly to the uses for which the funds are given</w:t>
            </w:r>
            <w:r w:rsidR="00AF42F0" w:rsidRPr="00C6388C">
              <w:rPr>
                <w:rFonts w:asciiTheme="minorHAnsi" w:hAnsiTheme="minorHAnsi" w:cstheme="minorHAnsi"/>
                <w:sz w:val="20"/>
                <w:szCs w:val="20"/>
              </w:rPr>
              <w:t xml:space="preserve"> </w:t>
            </w:r>
            <w:r w:rsidRPr="00C6388C">
              <w:rPr>
                <w:rFonts w:asciiTheme="minorHAnsi" w:hAnsiTheme="minorHAnsi" w:cstheme="minorHAnsi"/>
                <w:sz w:val="20"/>
                <w:szCs w:val="20"/>
              </w:rPr>
              <w:t>by the recipient</w:t>
            </w:r>
          </w:p>
          <w:p w:rsidR="00023E1F" w:rsidRPr="00C6388C" w:rsidRDefault="00023E1F" w:rsidP="00877F8F">
            <w:pPr>
              <w:numPr>
                <w:ilvl w:val="0"/>
                <w:numId w:val="6"/>
              </w:numPr>
              <w:spacing w:after="120"/>
              <w:outlineLvl w:val="2"/>
              <w:cnfStyle w:val="000000100000"/>
              <w:rPr>
                <w:rFonts w:asciiTheme="minorHAnsi" w:hAnsiTheme="minorHAnsi" w:cstheme="minorHAnsi"/>
                <w:bCs/>
                <w:sz w:val="20"/>
                <w:szCs w:val="20"/>
                <w:lang w:eastAsia="en-AU"/>
              </w:rPr>
            </w:pPr>
            <w:r w:rsidRPr="00C6388C">
              <w:rPr>
                <w:rFonts w:asciiTheme="minorHAnsi" w:hAnsiTheme="minorHAnsi" w:cstheme="minorHAnsi"/>
                <w:sz w:val="20"/>
                <w:szCs w:val="20"/>
              </w:rPr>
              <w:t xml:space="preserve">Sponsors </w:t>
            </w:r>
            <w:r w:rsidR="00DD3569">
              <w:rPr>
                <w:rFonts w:asciiTheme="minorHAnsi" w:hAnsiTheme="minorHAnsi" w:cstheme="minorHAnsi"/>
                <w:sz w:val="20"/>
                <w:szCs w:val="20"/>
              </w:rPr>
              <w:t xml:space="preserve">require </w:t>
            </w:r>
            <w:r w:rsidRPr="00C6388C">
              <w:rPr>
                <w:rFonts w:asciiTheme="minorHAnsi" w:hAnsiTheme="minorHAnsi" w:cstheme="minorHAnsi"/>
                <w:sz w:val="20"/>
                <w:szCs w:val="20"/>
              </w:rPr>
              <w:t>th</w:t>
            </w:r>
            <w:r w:rsidR="00DD3569">
              <w:rPr>
                <w:rFonts w:asciiTheme="minorHAnsi" w:hAnsiTheme="minorHAnsi" w:cstheme="minorHAnsi"/>
                <w:sz w:val="20"/>
                <w:szCs w:val="20"/>
              </w:rPr>
              <w:t xml:space="preserve">eir </w:t>
            </w:r>
            <w:r w:rsidRPr="00C6388C">
              <w:rPr>
                <w:rFonts w:asciiTheme="minorHAnsi" w:hAnsiTheme="minorHAnsi" w:cstheme="minorHAnsi"/>
                <w:sz w:val="20"/>
                <w:szCs w:val="20"/>
              </w:rPr>
              <w:t xml:space="preserve">funds </w:t>
            </w:r>
            <w:r w:rsidR="00DD3569">
              <w:rPr>
                <w:rFonts w:asciiTheme="minorHAnsi" w:hAnsiTheme="minorHAnsi" w:cstheme="minorHAnsi"/>
                <w:sz w:val="20"/>
                <w:szCs w:val="20"/>
              </w:rPr>
              <w:t xml:space="preserve">to </w:t>
            </w:r>
            <w:r w:rsidRPr="00C6388C">
              <w:rPr>
                <w:rFonts w:asciiTheme="minorHAnsi" w:hAnsiTheme="minorHAnsi" w:cstheme="minorHAnsi"/>
                <w:sz w:val="20"/>
                <w:szCs w:val="20"/>
              </w:rPr>
              <w:t>be used to support activities that bolster  their own mission or interests, and typical</w:t>
            </w:r>
            <w:r w:rsidR="001349EB">
              <w:rPr>
                <w:rFonts w:asciiTheme="minorHAnsi" w:hAnsiTheme="minorHAnsi" w:cstheme="minorHAnsi"/>
                <w:sz w:val="20"/>
                <w:szCs w:val="20"/>
              </w:rPr>
              <w:t xml:space="preserve">ly provide funding for </w:t>
            </w:r>
            <w:r w:rsidRPr="00C6388C">
              <w:rPr>
                <w:rFonts w:asciiTheme="minorHAnsi" w:hAnsiTheme="minorHAnsi" w:cstheme="minorHAnsi"/>
                <w:sz w:val="20"/>
                <w:szCs w:val="20"/>
              </w:rPr>
              <w:t>research on the basis of a specific project or research plan and budget</w:t>
            </w:r>
          </w:p>
          <w:p w:rsidR="00023E1F" w:rsidRPr="00C6388C" w:rsidRDefault="00023E1F" w:rsidP="00877F8F">
            <w:pPr>
              <w:numPr>
                <w:ilvl w:val="0"/>
                <w:numId w:val="6"/>
              </w:numPr>
              <w:spacing w:after="120"/>
              <w:outlineLvl w:val="2"/>
              <w:cnfStyle w:val="000000100000"/>
              <w:rPr>
                <w:rFonts w:asciiTheme="minorHAnsi" w:hAnsiTheme="minorHAnsi" w:cstheme="minorHAnsi"/>
                <w:bCs/>
                <w:sz w:val="20"/>
                <w:szCs w:val="20"/>
                <w:lang w:eastAsia="en-AU"/>
              </w:rPr>
            </w:pPr>
            <w:r w:rsidRPr="00C6388C">
              <w:rPr>
                <w:rFonts w:asciiTheme="minorHAnsi" w:hAnsiTheme="minorHAnsi" w:cstheme="minorHAnsi"/>
                <w:sz w:val="20"/>
                <w:szCs w:val="20"/>
              </w:rPr>
              <w:t>Sponsor</w:t>
            </w:r>
            <w:r w:rsidR="001349EB">
              <w:rPr>
                <w:rFonts w:asciiTheme="minorHAnsi" w:hAnsiTheme="minorHAnsi" w:cstheme="minorHAnsi"/>
                <w:sz w:val="20"/>
                <w:szCs w:val="20"/>
              </w:rPr>
              <w:t xml:space="preserve"> usually retains rights to own </w:t>
            </w:r>
            <w:r w:rsidRPr="00C6388C">
              <w:rPr>
                <w:rFonts w:asciiTheme="minorHAnsi" w:hAnsiTheme="minorHAnsi" w:cstheme="minorHAnsi"/>
                <w:sz w:val="20"/>
                <w:szCs w:val="20"/>
              </w:rPr>
              <w:t>or use any intellectual property created during the project</w:t>
            </w:r>
          </w:p>
          <w:p w:rsidR="00023E1F" w:rsidRPr="00C6388C" w:rsidRDefault="00023E1F" w:rsidP="00877F8F">
            <w:pPr>
              <w:numPr>
                <w:ilvl w:val="0"/>
                <w:numId w:val="6"/>
              </w:numPr>
              <w:spacing w:after="120"/>
              <w:outlineLvl w:val="2"/>
              <w:cnfStyle w:val="000000100000"/>
              <w:rPr>
                <w:rFonts w:asciiTheme="minorHAnsi" w:hAnsiTheme="minorHAnsi" w:cstheme="minorHAnsi"/>
                <w:bCs/>
                <w:sz w:val="20"/>
                <w:szCs w:val="20"/>
                <w:lang w:eastAsia="en-AU"/>
              </w:rPr>
            </w:pPr>
            <w:r w:rsidRPr="00C6388C">
              <w:rPr>
                <w:rFonts w:asciiTheme="minorHAnsi" w:hAnsiTheme="minorHAnsi" w:cstheme="minorHAnsi"/>
                <w:sz w:val="20"/>
                <w:szCs w:val="20"/>
              </w:rPr>
              <w:t>May involve third party subcontractors (</w:t>
            </w:r>
            <w:proofErr w:type="spellStart"/>
            <w:r w:rsidRPr="00C6388C">
              <w:rPr>
                <w:rFonts w:asciiTheme="minorHAnsi" w:hAnsiTheme="minorHAnsi" w:cstheme="minorHAnsi"/>
                <w:sz w:val="20"/>
                <w:szCs w:val="20"/>
              </w:rPr>
              <w:t>eg</w:t>
            </w:r>
            <w:proofErr w:type="spellEnd"/>
            <w:r w:rsidRPr="00C6388C">
              <w:rPr>
                <w:rFonts w:asciiTheme="minorHAnsi" w:hAnsiTheme="minorHAnsi" w:cstheme="minorHAnsi"/>
                <w:sz w:val="20"/>
                <w:szCs w:val="20"/>
              </w:rPr>
              <w:t xml:space="preserve">. Other </w:t>
            </w:r>
            <w:proofErr w:type="spellStart"/>
            <w:r w:rsidRPr="00C6388C">
              <w:rPr>
                <w:rFonts w:asciiTheme="minorHAnsi" w:hAnsiTheme="minorHAnsi" w:cstheme="minorHAnsi"/>
                <w:sz w:val="20"/>
                <w:szCs w:val="20"/>
              </w:rPr>
              <w:t>Uni</w:t>
            </w:r>
            <w:proofErr w:type="spellEnd"/>
            <w:r w:rsidRPr="00C6388C">
              <w:rPr>
                <w:rFonts w:asciiTheme="minorHAnsi" w:hAnsiTheme="minorHAnsi" w:cstheme="minorHAnsi"/>
                <w:sz w:val="20"/>
                <w:szCs w:val="20"/>
              </w:rPr>
              <w:t xml:space="preserve"> participants)</w:t>
            </w:r>
          </w:p>
          <w:p w:rsidR="00023E1F" w:rsidRPr="00C6388C" w:rsidRDefault="00023E1F" w:rsidP="00877F8F">
            <w:pPr>
              <w:spacing w:after="120"/>
              <w:ind w:left="360"/>
              <w:outlineLvl w:val="2"/>
              <w:cnfStyle w:val="000000100000"/>
              <w:rPr>
                <w:rFonts w:asciiTheme="minorHAnsi" w:hAnsiTheme="minorHAnsi" w:cstheme="minorHAnsi"/>
                <w:bCs/>
                <w:sz w:val="20"/>
                <w:szCs w:val="20"/>
                <w:lang w:eastAsia="en-AU"/>
              </w:rPr>
            </w:pPr>
          </w:p>
        </w:tc>
      </w:tr>
      <w:tr w:rsidR="00023E1F" w:rsidRPr="00C6388C" w:rsidTr="00C6388C">
        <w:tc>
          <w:tcPr>
            <w:cnfStyle w:val="001000000000"/>
            <w:tcW w:w="2093" w:type="dxa"/>
          </w:tcPr>
          <w:p w:rsidR="00023E1F" w:rsidRPr="00C6388C" w:rsidRDefault="00023E1F" w:rsidP="00877F8F">
            <w:pPr>
              <w:spacing w:after="120"/>
              <w:outlineLvl w:val="2"/>
              <w:rPr>
                <w:rFonts w:asciiTheme="minorHAnsi" w:hAnsiTheme="minorHAnsi" w:cstheme="minorHAnsi"/>
                <w:bCs w:val="0"/>
                <w:i/>
                <w:sz w:val="20"/>
                <w:szCs w:val="20"/>
                <w:lang w:eastAsia="en-AU"/>
              </w:rPr>
            </w:pPr>
            <w:r w:rsidRPr="00C6388C">
              <w:rPr>
                <w:rFonts w:asciiTheme="minorHAnsi" w:hAnsiTheme="minorHAnsi" w:cstheme="minorHAnsi"/>
                <w:i/>
                <w:sz w:val="20"/>
                <w:szCs w:val="20"/>
              </w:rPr>
              <w:t xml:space="preserve">Discretion/ Deliverables </w:t>
            </w:r>
          </w:p>
        </w:tc>
        <w:tc>
          <w:tcPr>
            <w:tcW w:w="3997" w:type="dxa"/>
          </w:tcPr>
          <w:p w:rsidR="00023E1F" w:rsidRPr="00C6388C" w:rsidRDefault="00023E1F" w:rsidP="00877F8F">
            <w:pPr>
              <w:numPr>
                <w:ilvl w:val="0"/>
                <w:numId w:val="6"/>
              </w:numPr>
              <w:spacing w:after="120"/>
              <w:outlineLvl w:val="2"/>
              <w:cnfStyle w:val="000000000000"/>
              <w:rPr>
                <w:rFonts w:asciiTheme="minorHAnsi" w:hAnsiTheme="minorHAnsi" w:cstheme="minorHAnsi"/>
                <w:bCs/>
                <w:sz w:val="20"/>
                <w:szCs w:val="20"/>
                <w:lang w:eastAsia="en-AU"/>
              </w:rPr>
            </w:pPr>
            <w:r w:rsidRPr="00C6388C">
              <w:rPr>
                <w:rFonts w:asciiTheme="minorHAnsi" w:hAnsiTheme="minorHAnsi" w:cstheme="minorHAnsi"/>
                <w:sz w:val="20"/>
                <w:szCs w:val="20"/>
              </w:rPr>
              <w:t xml:space="preserve">Within the restrictions set by the terms of a gift acknowledgement, the specific ways in which funds are used and the methods of implementing the intent of the </w:t>
            </w:r>
            <w:proofErr w:type="gramStart"/>
            <w:r w:rsidRPr="00C6388C">
              <w:rPr>
                <w:rFonts w:asciiTheme="minorHAnsi" w:hAnsiTheme="minorHAnsi" w:cstheme="minorHAnsi"/>
                <w:sz w:val="20"/>
                <w:szCs w:val="20"/>
              </w:rPr>
              <w:t>donor,</w:t>
            </w:r>
            <w:proofErr w:type="gramEnd"/>
            <w:r w:rsidRPr="00C6388C">
              <w:rPr>
                <w:rFonts w:asciiTheme="minorHAnsi" w:hAnsiTheme="minorHAnsi" w:cstheme="minorHAnsi"/>
                <w:sz w:val="20"/>
                <w:szCs w:val="20"/>
              </w:rPr>
              <w:t xml:space="preserve"> are left to the discretion of the University.</w:t>
            </w:r>
          </w:p>
          <w:p w:rsidR="00023E1F" w:rsidRPr="00877F8F" w:rsidRDefault="00023E1F" w:rsidP="00877F8F">
            <w:pPr>
              <w:numPr>
                <w:ilvl w:val="0"/>
                <w:numId w:val="6"/>
              </w:numPr>
              <w:spacing w:after="120"/>
              <w:outlineLvl w:val="2"/>
              <w:cnfStyle w:val="000000000000"/>
              <w:rPr>
                <w:rFonts w:asciiTheme="minorHAnsi" w:hAnsiTheme="minorHAnsi" w:cstheme="minorHAnsi"/>
                <w:bCs/>
                <w:sz w:val="20"/>
                <w:szCs w:val="20"/>
                <w:lang w:eastAsia="en-AU"/>
              </w:rPr>
            </w:pPr>
            <w:r w:rsidRPr="00C6388C">
              <w:rPr>
                <w:rFonts w:asciiTheme="minorHAnsi" w:hAnsiTheme="minorHAnsi" w:cstheme="minorHAnsi"/>
                <w:sz w:val="20"/>
                <w:szCs w:val="20"/>
              </w:rPr>
              <w:t>When restricted or unrestricted gifts/donations are received, the University typically enjoys broad latitude in how to use the gift funds, and the University, rather than the donor, chooses what specific faculty members and students may participate in the activities supported by the gift/donation.</w:t>
            </w:r>
          </w:p>
        </w:tc>
        <w:tc>
          <w:tcPr>
            <w:tcW w:w="3941" w:type="dxa"/>
          </w:tcPr>
          <w:p w:rsidR="00023E1F" w:rsidRPr="00C6388C" w:rsidRDefault="00023E1F" w:rsidP="00877F8F">
            <w:pPr>
              <w:numPr>
                <w:ilvl w:val="0"/>
                <w:numId w:val="6"/>
              </w:numPr>
              <w:spacing w:after="120"/>
              <w:outlineLvl w:val="2"/>
              <w:cnfStyle w:val="000000000000"/>
              <w:rPr>
                <w:rFonts w:asciiTheme="minorHAnsi" w:hAnsiTheme="minorHAnsi" w:cstheme="minorHAnsi"/>
                <w:bCs/>
                <w:sz w:val="20"/>
                <w:szCs w:val="20"/>
                <w:lang w:eastAsia="en-AU"/>
              </w:rPr>
            </w:pPr>
            <w:r w:rsidRPr="00C6388C">
              <w:rPr>
                <w:rFonts w:asciiTheme="minorHAnsi" w:hAnsiTheme="minorHAnsi" w:cstheme="minorHAnsi"/>
                <w:sz w:val="20"/>
                <w:szCs w:val="20"/>
              </w:rPr>
              <w:t>The research plan specifies key personnel, goals and objectives or tasks. It is to pursue the program or research plan that the funds are typically awarded</w:t>
            </w:r>
          </w:p>
          <w:p w:rsidR="00023E1F" w:rsidRPr="00C6388C" w:rsidRDefault="00023E1F" w:rsidP="00877F8F">
            <w:pPr>
              <w:spacing w:after="120"/>
              <w:outlineLvl w:val="2"/>
              <w:cnfStyle w:val="000000000000"/>
              <w:rPr>
                <w:rFonts w:asciiTheme="minorHAnsi" w:hAnsiTheme="minorHAnsi" w:cstheme="minorHAnsi"/>
                <w:bCs/>
                <w:sz w:val="20"/>
                <w:szCs w:val="20"/>
                <w:lang w:eastAsia="en-AU"/>
              </w:rPr>
            </w:pPr>
          </w:p>
        </w:tc>
      </w:tr>
      <w:tr w:rsidR="00023E1F" w:rsidRPr="00C6388C" w:rsidTr="00C6388C">
        <w:trPr>
          <w:cnfStyle w:val="000000100000"/>
        </w:trPr>
        <w:tc>
          <w:tcPr>
            <w:cnfStyle w:val="001000000000"/>
            <w:tcW w:w="2093" w:type="dxa"/>
          </w:tcPr>
          <w:p w:rsidR="00023E1F" w:rsidRPr="00C6388C" w:rsidRDefault="00023E1F" w:rsidP="001D29EB">
            <w:pPr>
              <w:keepNext/>
              <w:keepLines/>
              <w:spacing w:after="120"/>
              <w:outlineLvl w:val="2"/>
              <w:rPr>
                <w:rFonts w:asciiTheme="minorHAnsi" w:hAnsiTheme="minorHAnsi" w:cstheme="minorHAnsi"/>
                <w:i/>
                <w:sz w:val="20"/>
                <w:szCs w:val="20"/>
              </w:rPr>
            </w:pPr>
            <w:r w:rsidRPr="00C6388C">
              <w:rPr>
                <w:rFonts w:asciiTheme="minorHAnsi" w:hAnsiTheme="minorHAnsi" w:cstheme="minorHAnsi"/>
                <w:i/>
                <w:sz w:val="20"/>
                <w:szCs w:val="20"/>
              </w:rPr>
              <w:t>Reporting</w:t>
            </w:r>
          </w:p>
        </w:tc>
        <w:tc>
          <w:tcPr>
            <w:tcW w:w="3997" w:type="dxa"/>
          </w:tcPr>
          <w:p w:rsidR="00023E1F" w:rsidRPr="00C6388C" w:rsidRDefault="00023E1F" w:rsidP="001D29EB">
            <w:pPr>
              <w:keepNext/>
              <w:keepLines/>
              <w:spacing w:after="120"/>
              <w:outlineLvl w:val="2"/>
              <w:cnfStyle w:val="000000100000"/>
              <w:rPr>
                <w:rFonts w:asciiTheme="minorHAnsi" w:hAnsiTheme="minorHAnsi" w:cstheme="minorHAnsi"/>
                <w:sz w:val="20"/>
                <w:szCs w:val="20"/>
              </w:rPr>
            </w:pPr>
            <w:r w:rsidRPr="00C6388C">
              <w:rPr>
                <w:rFonts w:asciiTheme="minorHAnsi" w:hAnsiTheme="minorHAnsi" w:cstheme="minorHAnsi"/>
                <w:sz w:val="20"/>
                <w:szCs w:val="20"/>
              </w:rPr>
              <w:t>It is not unusual for a donor to expect a report on the general uses of funds donated (for example, a list of activities or projects that have been supported by a gift/donation</w:t>
            </w:r>
            <w:r w:rsidR="00FA1034">
              <w:rPr>
                <w:rFonts w:asciiTheme="minorHAnsi" w:hAnsiTheme="minorHAnsi" w:cstheme="minorHAnsi"/>
                <w:sz w:val="20"/>
                <w:szCs w:val="20"/>
              </w:rPr>
              <w:t>; financial expenditure statement</w:t>
            </w:r>
            <w:r w:rsidRPr="00C6388C">
              <w:rPr>
                <w:rFonts w:asciiTheme="minorHAnsi" w:hAnsiTheme="minorHAnsi" w:cstheme="minorHAnsi"/>
                <w:sz w:val="20"/>
                <w:szCs w:val="20"/>
              </w:rPr>
              <w:t>).</w:t>
            </w:r>
          </w:p>
        </w:tc>
        <w:tc>
          <w:tcPr>
            <w:tcW w:w="3941" w:type="dxa"/>
          </w:tcPr>
          <w:p w:rsidR="00023E1F" w:rsidRPr="00C6388C" w:rsidRDefault="00023E1F" w:rsidP="001D29EB">
            <w:pPr>
              <w:keepNext/>
              <w:keepLines/>
              <w:numPr>
                <w:ilvl w:val="0"/>
                <w:numId w:val="6"/>
              </w:numPr>
              <w:spacing w:after="120"/>
              <w:outlineLvl w:val="2"/>
              <w:cnfStyle w:val="000000100000"/>
              <w:rPr>
                <w:rFonts w:asciiTheme="minorHAnsi" w:hAnsiTheme="minorHAnsi" w:cstheme="minorHAnsi"/>
                <w:bCs/>
                <w:sz w:val="20"/>
                <w:szCs w:val="20"/>
                <w:lang w:eastAsia="en-AU"/>
              </w:rPr>
            </w:pPr>
            <w:r w:rsidRPr="00C6388C">
              <w:rPr>
                <w:rFonts w:asciiTheme="minorHAnsi" w:hAnsiTheme="minorHAnsi" w:cstheme="minorHAnsi"/>
                <w:sz w:val="20"/>
                <w:szCs w:val="20"/>
              </w:rPr>
              <w:t>University is usually responsible for reporting on progr</w:t>
            </w:r>
            <w:r w:rsidR="00F80F0D">
              <w:rPr>
                <w:rFonts w:asciiTheme="minorHAnsi" w:hAnsiTheme="minorHAnsi" w:cstheme="minorHAnsi"/>
                <w:sz w:val="20"/>
                <w:szCs w:val="20"/>
              </w:rPr>
              <w:t xml:space="preserve">ess and results to the sponsor </w:t>
            </w:r>
            <w:r w:rsidRPr="00C6388C">
              <w:rPr>
                <w:rFonts w:asciiTheme="minorHAnsi" w:hAnsiTheme="minorHAnsi" w:cstheme="minorHAnsi"/>
                <w:sz w:val="20"/>
                <w:szCs w:val="20"/>
              </w:rPr>
              <w:t>at intervals or milestones identified in the research plan</w:t>
            </w:r>
          </w:p>
          <w:p w:rsidR="00023E1F" w:rsidRPr="00C6388C" w:rsidRDefault="00023E1F" w:rsidP="001D29EB">
            <w:pPr>
              <w:keepNext/>
              <w:keepLines/>
              <w:numPr>
                <w:ilvl w:val="0"/>
                <w:numId w:val="6"/>
              </w:numPr>
              <w:spacing w:after="120"/>
              <w:outlineLvl w:val="2"/>
              <w:cnfStyle w:val="000000100000"/>
              <w:rPr>
                <w:rFonts w:asciiTheme="minorHAnsi" w:hAnsiTheme="minorHAnsi" w:cstheme="minorHAnsi"/>
                <w:sz w:val="20"/>
                <w:szCs w:val="20"/>
              </w:rPr>
            </w:pPr>
            <w:r w:rsidRPr="00C6388C">
              <w:rPr>
                <w:rFonts w:asciiTheme="minorHAnsi" w:hAnsiTheme="minorHAnsi" w:cstheme="minorHAnsi"/>
                <w:sz w:val="20"/>
                <w:szCs w:val="20"/>
              </w:rPr>
              <w:t>Sponsor has the discretion to examine, even on a line-item basis, the expenditures of the funds, and to disallow and demand repayment of any funds deemed to have been expended for purposes other than direct support of the defined activities</w:t>
            </w:r>
          </w:p>
        </w:tc>
      </w:tr>
      <w:tr w:rsidR="00023E1F" w:rsidRPr="00C6388C" w:rsidTr="00C6388C">
        <w:tc>
          <w:tcPr>
            <w:cnfStyle w:val="001000000000"/>
            <w:tcW w:w="2093" w:type="dxa"/>
          </w:tcPr>
          <w:p w:rsidR="00023E1F" w:rsidRPr="00C6388C" w:rsidRDefault="00023E1F" w:rsidP="00877F8F">
            <w:pPr>
              <w:spacing w:after="120"/>
              <w:outlineLvl w:val="2"/>
              <w:rPr>
                <w:rFonts w:asciiTheme="minorHAnsi" w:hAnsiTheme="minorHAnsi" w:cstheme="minorHAnsi"/>
                <w:i/>
                <w:sz w:val="20"/>
                <w:szCs w:val="20"/>
              </w:rPr>
            </w:pPr>
            <w:r w:rsidRPr="00C6388C">
              <w:rPr>
                <w:rFonts w:asciiTheme="minorHAnsi" w:hAnsiTheme="minorHAnsi" w:cstheme="minorHAnsi"/>
                <w:i/>
                <w:sz w:val="20"/>
                <w:szCs w:val="20"/>
              </w:rPr>
              <w:t>Timelines and return of funds</w:t>
            </w:r>
          </w:p>
        </w:tc>
        <w:tc>
          <w:tcPr>
            <w:tcW w:w="3997" w:type="dxa"/>
          </w:tcPr>
          <w:p w:rsidR="00023E1F" w:rsidRPr="00C6388C" w:rsidRDefault="00023E1F" w:rsidP="00877F8F">
            <w:pPr>
              <w:spacing w:after="120"/>
              <w:outlineLvl w:val="2"/>
              <w:cnfStyle w:val="000000000000"/>
              <w:rPr>
                <w:rFonts w:asciiTheme="minorHAnsi" w:hAnsiTheme="minorHAnsi" w:cstheme="minorHAnsi"/>
                <w:sz w:val="20"/>
                <w:szCs w:val="20"/>
              </w:rPr>
            </w:pPr>
            <w:r w:rsidRPr="00C6388C">
              <w:rPr>
                <w:rFonts w:asciiTheme="minorHAnsi" w:hAnsiTheme="minorHAnsi" w:cstheme="minorHAnsi"/>
                <w:sz w:val="20"/>
                <w:szCs w:val="20"/>
              </w:rPr>
              <w:t>Other than an expectation to spend the gift in a reasonable timeframe, there is no specific schedule of activities or deliverables. A donor may not recoup gift funds</w:t>
            </w:r>
            <w:r w:rsidR="00FA1034">
              <w:rPr>
                <w:rFonts w:asciiTheme="minorHAnsi" w:hAnsiTheme="minorHAnsi" w:cstheme="minorHAnsi"/>
                <w:sz w:val="20"/>
                <w:szCs w:val="20"/>
              </w:rPr>
              <w:t>.</w:t>
            </w:r>
          </w:p>
        </w:tc>
        <w:tc>
          <w:tcPr>
            <w:tcW w:w="3941" w:type="dxa"/>
          </w:tcPr>
          <w:p w:rsidR="00023E1F" w:rsidRPr="00C6388C" w:rsidRDefault="00023E1F" w:rsidP="00877F8F">
            <w:pPr>
              <w:numPr>
                <w:ilvl w:val="0"/>
                <w:numId w:val="7"/>
              </w:numPr>
              <w:spacing w:after="120"/>
              <w:outlineLvl w:val="2"/>
              <w:cnfStyle w:val="000000000000"/>
              <w:rPr>
                <w:rFonts w:asciiTheme="minorHAnsi" w:hAnsiTheme="minorHAnsi" w:cstheme="minorHAnsi"/>
                <w:i/>
                <w:sz w:val="20"/>
                <w:szCs w:val="20"/>
              </w:rPr>
            </w:pPr>
            <w:r w:rsidRPr="00C6388C">
              <w:rPr>
                <w:rFonts w:asciiTheme="minorHAnsi" w:hAnsiTheme="minorHAnsi" w:cstheme="minorHAnsi"/>
                <w:sz w:val="20"/>
                <w:szCs w:val="20"/>
              </w:rPr>
              <w:t xml:space="preserve">Due dates for tasks/deliverables are specified in the research plan </w:t>
            </w:r>
          </w:p>
          <w:p w:rsidR="00023E1F" w:rsidRPr="00C6388C" w:rsidRDefault="00023E1F" w:rsidP="00877F8F">
            <w:pPr>
              <w:numPr>
                <w:ilvl w:val="0"/>
                <w:numId w:val="7"/>
              </w:numPr>
              <w:spacing w:after="120"/>
              <w:outlineLvl w:val="2"/>
              <w:cnfStyle w:val="000000000000"/>
              <w:rPr>
                <w:rFonts w:asciiTheme="minorHAnsi" w:hAnsiTheme="minorHAnsi" w:cstheme="minorHAnsi"/>
                <w:i/>
                <w:sz w:val="20"/>
                <w:szCs w:val="20"/>
              </w:rPr>
            </w:pPr>
            <w:r w:rsidRPr="00C6388C">
              <w:rPr>
                <w:rFonts w:asciiTheme="minorHAnsi" w:hAnsiTheme="minorHAnsi" w:cstheme="minorHAnsi"/>
                <w:sz w:val="20"/>
                <w:szCs w:val="20"/>
              </w:rPr>
              <w:t xml:space="preserve">Funds unused at the expiration of the time period </w:t>
            </w:r>
            <w:r w:rsidR="001349EB">
              <w:rPr>
                <w:rFonts w:asciiTheme="minorHAnsi" w:hAnsiTheme="minorHAnsi" w:cstheme="minorHAnsi"/>
                <w:sz w:val="20"/>
                <w:szCs w:val="20"/>
              </w:rPr>
              <w:t xml:space="preserve">may </w:t>
            </w:r>
            <w:r w:rsidR="00F80F0D">
              <w:rPr>
                <w:rFonts w:asciiTheme="minorHAnsi" w:hAnsiTheme="minorHAnsi" w:cstheme="minorHAnsi"/>
                <w:sz w:val="20"/>
                <w:szCs w:val="20"/>
              </w:rPr>
              <w:t xml:space="preserve">revert to the sponsor </w:t>
            </w:r>
            <w:r w:rsidRPr="00C6388C">
              <w:rPr>
                <w:rFonts w:asciiTheme="minorHAnsi" w:hAnsiTheme="minorHAnsi" w:cstheme="minorHAnsi"/>
                <w:sz w:val="20"/>
                <w:szCs w:val="20"/>
              </w:rPr>
              <w:t>or require a variation to extend the work.</w:t>
            </w:r>
          </w:p>
          <w:p w:rsidR="00023E1F" w:rsidRPr="00C6388C" w:rsidRDefault="00023E1F" w:rsidP="00877F8F">
            <w:pPr>
              <w:numPr>
                <w:ilvl w:val="0"/>
                <w:numId w:val="7"/>
              </w:numPr>
              <w:spacing w:after="120"/>
              <w:outlineLvl w:val="2"/>
              <w:cnfStyle w:val="000000000000"/>
              <w:rPr>
                <w:rFonts w:asciiTheme="minorHAnsi" w:hAnsiTheme="minorHAnsi" w:cstheme="minorHAnsi"/>
                <w:i/>
                <w:sz w:val="20"/>
                <w:szCs w:val="20"/>
              </w:rPr>
            </w:pPr>
            <w:r w:rsidRPr="00C6388C">
              <w:rPr>
                <w:rFonts w:asciiTheme="minorHAnsi" w:hAnsiTheme="minorHAnsi" w:cstheme="minorHAnsi"/>
                <w:sz w:val="20"/>
                <w:szCs w:val="20"/>
              </w:rPr>
              <w:t xml:space="preserve">If the funded program of research is not pursued, or the contracted deliverables not attained, sponsors often reserve the right to recoup all or some of the unspent funding </w:t>
            </w:r>
          </w:p>
        </w:tc>
      </w:tr>
      <w:tr w:rsidR="00023E1F" w:rsidRPr="00C6388C" w:rsidTr="00C6388C">
        <w:trPr>
          <w:cnfStyle w:val="000000100000"/>
        </w:trPr>
        <w:tc>
          <w:tcPr>
            <w:cnfStyle w:val="001000000000"/>
            <w:tcW w:w="2093" w:type="dxa"/>
          </w:tcPr>
          <w:p w:rsidR="00023E1F" w:rsidRPr="00C6388C" w:rsidRDefault="00023E1F" w:rsidP="00877F8F">
            <w:pPr>
              <w:spacing w:after="120"/>
              <w:outlineLvl w:val="2"/>
              <w:rPr>
                <w:rFonts w:asciiTheme="minorHAnsi" w:hAnsiTheme="minorHAnsi" w:cstheme="minorHAnsi"/>
                <w:i/>
                <w:sz w:val="20"/>
                <w:szCs w:val="20"/>
              </w:rPr>
            </w:pPr>
            <w:r w:rsidRPr="00C6388C">
              <w:rPr>
                <w:rFonts w:asciiTheme="minorHAnsi" w:hAnsiTheme="minorHAnsi" w:cstheme="minorHAnsi"/>
                <w:i/>
                <w:sz w:val="20"/>
                <w:szCs w:val="20"/>
              </w:rPr>
              <w:t>Type of donor/sponsor</w:t>
            </w:r>
          </w:p>
        </w:tc>
        <w:tc>
          <w:tcPr>
            <w:tcW w:w="3997" w:type="dxa"/>
          </w:tcPr>
          <w:p w:rsidR="00023E1F" w:rsidRPr="00C6388C" w:rsidRDefault="00023E1F" w:rsidP="00877F8F">
            <w:pPr>
              <w:spacing w:after="120"/>
              <w:outlineLvl w:val="2"/>
              <w:cnfStyle w:val="000000100000"/>
              <w:rPr>
                <w:rFonts w:asciiTheme="minorHAnsi" w:hAnsiTheme="minorHAnsi" w:cstheme="minorHAnsi"/>
                <w:sz w:val="20"/>
                <w:szCs w:val="20"/>
              </w:rPr>
            </w:pPr>
            <w:r w:rsidRPr="00C6388C">
              <w:rPr>
                <w:rFonts w:asciiTheme="minorHAnsi" w:hAnsiTheme="minorHAnsi" w:cstheme="minorHAnsi"/>
                <w:sz w:val="20"/>
                <w:szCs w:val="20"/>
              </w:rPr>
              <w:t>How a donor/sponsor is registered can also clarify the treatment of funds. Those Trusts and Foundations that are registered as Ancillary Funds are by definition making philanthropic contributions</w:t>
            </w:r>
          </w:p>
        </w:tc>
        <w:tc>
          <w:tcPr>
            <w:tcW w:w="3941" w:type="dxa"/>
          </w:tcPr>
          <w:p w:rsidR="00023E1F" w:rsidRPr="00C6388C" w:rsidRDefault="00023E1F" w:rsidP="00877F8F">
            <w:pPr>
              <w:spacing w:after="120"/>
              <w:ind w:left="360"/>
              <w:outlineLvl w:val="2"/>
              <w:cnfStyle w:val="000000100000"/>
              <w:rPr>
                <w:rFonts w:asciiTheme="minorHAnsi" w:hAnsiTheme="minorHAnsi" w:cstheme="minorHAnsi"/>
                <w:sz w:val="20"/>
                <w:szCs w:val="20"/>
              </w:rPr>
            </w:pPr>
          </w:p>
        </w:tc>
      </w:tr>
      <w:tr w:rsidR="00023E1F" w:rsidRPr="00C6388C" w:rsidTr="00C6388C">
        <w:tc>
          <w:tcPr>
            <w:cnfStyle w:val="001000000000"/>
            <w:tcW w:w="2093" w:type="dxa"/>
          </w:tcPr>
          <w:p w:rsidR="00023E1F" w:rsidRPr="00C6388C" w:rsidRDefault="00023E1F" w:rsidP="00F24B36">
            <w:pPr>
              <w:spacing w:after="120"/>
              <w:outlineLvl w:val="2"/>
              <w:rPr>
                <w:rFonts w:asciiTheme="minorHAnsi" w:hAnsiTheme="minorHAnsi" w:cstheme="minorHAnsi"/>
                <w:i/>
                <w:sz w:val="20"/>
                <w:szCs w:val="20"/>
              </w:rPr>
            </w:pPr>
            <w:r w:rsidRPr="00C6388C">
              <w:rPr>
                <w:rFonts w:asciiTheme="minorHAnsi" w:hAnsiTheme="minorHAnsi" w:cstheme="minorHAnsi"/>
                <w:i/>
                <w:sz w:val="20"/>
                <w:szCs w:val="20"/>
              </w:rPr>
              <w:t>Tax deductibility</w:t>
            </w:r>
          </w:p>
        </w:tc>
        <w:tc>
          <w:tcPr>
            <w:tcW w:w="3997" w:type="dxa"/>
          </w:tcPr>
          <w:p w:rsidR="00023E1F" w:rsidRPr="00C6388C" w:rsidRDefault="00023E1F" w:rsidP="00F24B36">
            <w:pPr>
              <w:spacing w:after="120"/>
              <w:outlineLvl w:val="2"/>
              <w:cnfStyle w:val="000000000000"/>
              <w:rPr>
                <w:rFonts w:asciiTheme="minorHAnsi" w:hAnsiTheme="minorHAnsi" w:cstheme="minorHAnsi"/>
                <w:sz w:val="20"/>
                <w:szCs w:val="20"/>
              </w:rPr>
            </w:pPr>
            <w:r w:rsidRPr="00C6388C">
              <w:rPr>
                <w:rFonts w:asciiTheme="minorHAnsi" w:hAnsiTheme="minorHAnsi" w:cstheme="minorHAnsi"/>
                <w:sz w:val="20"/>
                <w:szCs w:val="20"/>
              </w:rPr>
              <w:t>A philanthropic gift that meets the ATO’s guidelines will be tax deductible for the donor.</w:t>
            </w:r>
          </w:p>
        </w:tc>
        <w:tc>
          <w:tcPr>
            <w:tcW w:w="3941" w:type="dxa"/>
          </w:tcPr>
          <w:p w:rsidR="00023E1F" w:rsidRPr="00C6388C" w:rsidRDefault="00023E1F" w:rsidP="00F24B36">
            <w:pPr>
              <w:spacing w:after="120"/>
              <w:outlineLvl w:val="2"/>
              <w:cnfStyle w:val="000000000000"/>
              <w:rPr>
                <w:rFonts w:asciiTheme="minorHAnsi" w:hAnsiTheme="minorHAnsi" w:cstheme="minorHAnsi"/>
                <w:sz w:val="20"/>
                <w:szCs w:val="20"/>
              </w:rPr>
            </w:pPr>
            <w:r w:rsidRPr="00C6388C">
              <w:rPr>
                <w:rFonts w:asciiTheme="minorHAnsi" w:hAnsiTheme="minorHAnsi" w:cstheme="minorHAnsi"/>
                <w:sz w:val="20"/>
                <w:szCs w:val="20"/>
              </w:rPr>
              <w:t>A contribution to fund contract research or sponsored research may not be tax deductible for the contributor.</w:t>
            </w:r>
          </w:p>
        </w:tc>
      </w:tr>
      <w:tr w:rsidR="0058157F" w:rsidRPr="00D8780D" w:rsidTr="00C6388C">
        <w:trPr>
          <w:cnfStyle w:val="000000100000"/>
        </w:trPr>
        <w:tc>
          <w:tcPr>
            <w:cnfStyle w:val="001000000000"/>
            <w:tcW w:w="2093" w:type="dxa"/>
          </w:tcPr>
          <w:p w:rsidR="0058157F" w:rsidRPr="00C6388C" w:rsidRDefault="0058157F" w:rsidP="00F24B36">
            <w:pPr>
              <w:spacing w:after="120"/>
              <w:outlineLvl w:val="2"/>
              <w:rPr>
                <w:rFonts w:asciiTheme="minorHAnsi" w:hAnsiTheme="minorHAnsi" w:cstheme="minorHAnsi"/>
                <w:i/>
                <w:sz w:val="20"/>
                <w:szCs w:val="20"/>
              </w:rPr>
            </w:pPr>
            <w:r>
              <w:rPr>
                <w:rFonts w:asciiTheme="minorHAnsi" w:hAnsiTheme="minorHAnsi" w:cstheme="minorHAnsi"/>
                <w:i/>
                <w:sz w:val="20"/>
                <w:szCs w:val="20"/>
              </w:rPr>
              <w:t>Trusts/Foundations</w:t>
            </w:r>
          </w:p>
        </w:tc>
        <w:tc>
          <w:tcPr>
            <w:tcW w:w="3997" w:type="dxa"/>
          </w:tcPr>
          <w:p w:rsidR="0058157F" w:rsidRDefault="0058157F" w:rsidP="00F24B36">
            <w:pPr>
              <w:spacing w:after="120"/>
              <w:outlineLvl w:val="2"/>
              <w:cnfStyle w:val="000000100000"/>
              <w:rPr>
                <w:rFonts w:asciiTheme="minorHAnsi" w:hAnsiTheme="minorHAnsi" w:cstheme="minorHAnsi"/>
                <w:sz w:val="20"/>
                <w:szCs w:val="20"/>
              </w:rPr>
            </w:pPr>
            <w:r>
              <w:rPr>
                <w:rFonts w:asciiTheme="minorHAnsi" w:hAnsiTheme="minorHAnsi" w:cstheme="minorHAnsi"/>
                <w:sz w:val="20"/>
                <w:szCs w:val="20"/>
              </w:rPr>
              <w:t>All philanthropic funding from Trusts/Foundations will be managed by the Division of Advancement.</w:t>
            </w:r>
          </w:p>
          <w:p w:rsidR="0058157F" w:rsidRDefault="0058157F" w:rsidP="00F24B36">
            <w:pPr>
              <w:spacing w:after="120"/>
              <w:outlineLvl w:val="2"/>
              <w:cnfStyle w:val="000000100000"/>
              <w:rPr>
                <w:rFonts w:asciiTheme="minorHAnsi" w:hAnsiTheme="minorHAnsi" w:cstheme="minorHAnsi"/>
                <w:sz w:val="20"/>
                <w:szCs w:val="20"/>
              </w:rPr>
            </w:pPr>
            <w:r>
              <w:rPr>
                <w:rFonts w:asciiTheme="minorHAnsi" w:hAnsiTheme="minorHAnsi" w:cstheme="minorHAnsi"/>
                <w:sz w:val="20"/>
                <w:szCs w:val="20"/>
              </w:rPr>
              <w:t>The sole exception is research grant funding awarded via an advertised competitive application round where the Division of Research manage</w:t>
            </w:r>
            <w:r w:rsidR="00B54D4B">
              <w:rPr>
                <w:rFonts w:asciiTheme="minorHAnsi" w:hAnsiTheme="minorHAnsi" w:cstheme="minorHAnsi"/>
                <w:sz w:val="20"/>
                <w:szCs w:val="20"/>
              </w:rPr>
              <w:t>s</w:t>
            </w:r>
            <w:r>
              <w:rPr>
                <w:rFonts w:asciiTheme="minorHAnsi" w:hAnsiTheme="minorHAnsi" w:cstheme="minorHAnsi"/>
                <w:sz w:val="20"/>
                <w:szCs w:val="20"/>
              </w:rPr>
              <w:t xml:space="preserve"> the submission of applications</w:t>
            </w:r>
            <w:r w:rsidR="00B54D4B">
              <w:rPr>
                <w:rFonts w:asciiTheme="minorHAnsi" w:hAnsiTheme="minorHAnsi" w:cstheme="minorHAnsi"/>
                <w:sz w:val="20"/>
                <w:szCs w:val="20"/>
              </w:rPr>
              <w:t xml:space="preserve"> and any research grant funds awarded</w:t>
            </w:r>
            <w:r w:rsidR="009B436B">
              <w:rPr>
                <w:rFonts w:asciiTheme="minorHAnsi" w:hAnsiTheme="minorHAnsi" w:cstheme="minorHAnsi"/>
                <w:sz w:val="20"/>
                <w:szCs w:val="20"/>
              </w:rPr>
              <w:t xml:space="preserve"> </w:t>
            </w:r>
            <w:r w:rsidR="009B436B" w:rsidRPr="00D8780D">
              <w:rPr>
                <w:rFonts w:asciiTheme="minorHAnsi" w:hAnsiTheme="minorHAnsi" w:cstheme="minorHAnsi"/>
                <w:sz w:val="20"/>
                <w:szCs w:val="20"/>
              </w:rPr>
              <w:t>(see Section 3.2)</w:t>
            </w:r>
            <w:r w:rsidRPr="00D8780D">
              <w:rPr>
                <w:rFonts w:asciiTheme="minorHAnsi" w:hAnsiTheme="minorHAnsi" w:cstheme="minorHAnsi"/>
                <w:sz w:val="20"/>
                <w:szCs w:val="20"/>
              </w:rPr>
              <w:t xml:space="preserve">. </w:t>
            </w:r>
            <w:r>
              <w:rPr>
                <w:rFonts w:asciiTheme="minorHAnsi" w:hAnsiTheme="minorHAnsi" w:cstheme="minorHAnsi"/>
                <w:sz w:val="20"/>
                <w:szCs w:val="20"/>
              </w:rPr>
              <w:t>Examples include, but are not limited to:</w:t>
            </w:r>
          </w:p>
          <w:p w:rsidR="0058157F" w:rsidRPr="00D8780D" w:rsidRDefault="0058157F" w:rsidP="00F24B36">
            <w:pPr>
              <w:pStyle w:val="ListParagraph"/>
              <w:numPr>
                <w:ilvl w:val="0"/>
                <w:numId w:val="10"/>
              </w:numPr>
              <w:spacing w:after="120"/>
              <w:outlineLvl w:val="2"/>
              <w:cnfStyle w:val="000000100000"/>
              <w:rPr>
                <w:rFonts w:asciiTheme="minorHAnsi" w:eastAsia="Times New Roman" w:hAnsiTheme="minorHAnsi" w:cstheme="minorHAnsi"/>
                <w:sz w:val="20"/>
                <w:szCs w:val="20"/>
                <w:lang w:val="en-US"/>
              </w:rPr>
            </w:pPr>
            <w:r w:rsidRPr="00D8780D">
              <w:rPr>
                <w:rFonts w:asciiTheme="minorHAnsi" w:eastAsia="Times New Roman" w:hAnsiTheme="minorHAnsi" w:cstheme="minorHAnsi"/>
                <w:sz w:val="20"/>
                <w:szCs w:val="20"/>
                <w:lang w:val="en-US"/>
              </w:rPr>
              <w:t>Perpetual</w:t>
            </w:r>
          </w:p>
          <w:p w:rsidR="0058157F" w:rsidRPr="00D8780D" w:rsidRDefault="0058157F" w:rsidP="00F24B36">
            <w:pPr>
              <w:pStyle w:val="ListParagraph"/>
              <w:numPr>
                <w:ilvl w:val="0"/>
                <w:numId w:val="10"/>
              </w:numPr>
              <w:spacing w:after="120"/>
              <w:outlineLvl w:val="2"/>
              <w:cnfStyle w:val="000000100000"/>
              <w:rPr>
                <w:rFonts w:asciiTheme="minorHAnsi" w:eastAsia="Times New Roman" w:hAnsiTheme="minorHAnsi" w:cstheme="minorHAnsi"/>
                <w:sz w:val="20"/>
                <w:szCs w:val="20"/>
                <w:lang w:val="en-US"/>
              </w:rPr>
            </w:pPr>
            <w:r w:rsidRPr="00D8780D">
              <w:rPr>
                <w:rFonts w:asciiTheme="minorHAnsi" w:eastAsia="Times New Roman" w:hAnsiTheme="minorHAnsi" w:cstheme="minorHAnsi"/>
                <w:sz w:val="20"/>
                <w:szCs w:val="20"/>
                <w:lang w:val="en-US"/>
              </w:rPr>
              <w:t>Ian Potter</w:t>
            </w:r>
          </w:p>
          <w:p w:rsidR="0058157F" w:rsidRPr="00D8780D" w:rsidRDefault="003E496B" w:rsidP="00F24B36">
            <w:pPr>
              <w:pStyle w:val="ListParagraph"/>
              <w:numPr>
                <w:ilvl w:val="0"/>
                <w:numId w:val="10"/>
              </w:numPr>
              <w:spacing w:after="120"/>
              <w:outlineLvl w:val="2"/>
              <w:cnfStyle w:val="000000100000"/>
              <w:rPr>
                <w:rFonts w:asciiTheme="minorHAnsi" w:eastAsia="Times New Roman" w:hAnsiTheme="minorHAnsi" w:cstheme="minorHAnsi"/>
                <w:sz w:val="20"/>
                <w:szCs w:val="20"/>
                <w:lang w:val="en-US"/>
              </w:rPr>
            </w:pPr>
            <w:proofErr w:type="spellStart"/>
            <w:r w:rsidRPr="00D8780D">
              <w:rPr>
                <w:rFonts w:asciiTheme="minorHAnsi" w:eastAsia="Times New Roman" w:hAnsiTheme="minorHAnsi" w:cstheme="minorHAnsi"/>
                <w:sz w:val="20"/>
                <w:szCs w:val="20"/>
                <w:lang w:val="en-US"/>
              </w:rPr>
              <w:t>Ramaciotti</w:t>
            </w:r>
            <w:proofErr w:type="spellEnd"/>
          </w:p>
          <w:p w:rsidR="0058157F" w:rsidRPr="00D8780D" w:rsidRDefault="0058157F" w:rsidP="00F24B36">
            <w:pPr>
              <w:pStyle w:val="ListParagraph"/>
              <w:numPr>
                <w:ilvl w:val="0"/>
                <w:numId w:val="10"/>
              </w:numPr>
              <w:spacing w:after="120"/>
              <w:outlineLvl w:val="2"/>
              <w:cnfStyle w:val="000000100000"/>
              <w:rPr>
                <w:rFonts w:asciiTheme="minorHAnsi" w:eastAsia="Times New Roman" w:hAnsiTheme="minorHAnsi" w:cstheme="minorHAnsi"/>
                <w:sz w:val="20"/>
                <w:szCs w:val="20"/>
                <w:lang w:val="en-US"/>
              </w:rPr>
            </w:pPr>
            <w:r w:rsidRPr="00D8780D">
              <w:rPr>
                <w:rFonts w:asciiTheme="minorHAnsi" w:eastAsia="Times New Roman" w:hAnsiTheme="minorHAnsi" w:cstheme="minorHAnsi"/>
                <w:sz w:val="20"/>
                <w:szCs w:val="20"/>
                <w:lang w:val="en-US"/>
              </w:rPr>
              <w:t>BUPA</w:t>
            </w:r>
          </w:p>
        </w:tc>
        <w:tc>
          <w:tcPr>
            <w:tcW w:w="3941" w:type="dxa"/>
          </w:tcPr>
          <w:p w:rsidR="0058157F" w:rsidRPr="00D8780D" w:rsidRDefault="0058157F" w:rsidP="00F24B36">
            <w:pPr>
              <w:spacing w:after="120"/>
              <w:outlineLvl w:val="2"/>
              <w:cnfStyle w:val="000000100000"/>
              <w:rPr>
                <w:rFonts w:asciiTheme="minorHAnsi" w:hAnsiTheme="minorHAnsi" w:cstheme="minorHAnsi"/>
                <w:sz w:val="20"/>
                <w:szCs w:val="20"/>
              </w:rPr>
            </w:pPr>
            <w:r>
              <w:rPr>
                <w:rFonts w:asciiTheme="minorHAnsi" w:hAnsiTheme="minorHAnsi" w:cstheme="minorHAnsi"/>
                <w:sz w:val="20"/>
                <w:szCs w:val="20"/>
              </w:rPr>
              <w:t>R</w:t>
            </w:r>
            <w:r w:rsidRPr="00384B8F">
              <w:rPr>
                <w:rFonts w:asciiTheme="minorHAnsi" w:hAnsiTheme="minorHAnsi" w:cstheme="minorHAnsi"/>
                <w:sz w:val="20"/>
                <w:szCs w:val="20"/>
              </w:rPr>
              <w:t xml:space="preserve">esearch </w:t>
            </w:r>
            <w:r>
              <w:rPr>
                <w:rFonts w:asciiTheme="minorHAnsi" w:hAnsiTheme="minorHAnsi" w:cstheme="minorHAnsi"/>
                <w:sz w:val="20"/>
                <w:szCs w:val="20"/>
              </w:rPr>
              <w:t xml:space="preserve">grant </w:t>
            </w:r>
            <w:r w:rsidRPr="00384B8F">
              <w:rPr>
                <w:rFonts w:asciiTheme="minorHAnsi" w:hAnsiTheme="minorHAnsi" w:cstheme="minorHAnsi"/>
                <w:sz w:val="20"/>
                <w:szCs w:val="20"/>
              </w:rPr>
              <w:t xml:space="preserve">funding </w:t>
            </w:r>
            <w:r w:rsidR="00B54D4B">
              <w:rPr>
                <w:rFonts w:asciiTheme="minorHAnsi" w:hAnsiTheme="minorHAnsi" w:cstheme="minorHAnsi"/>
                <w:sz w:val="20"/>
                <w:szCs w:val="20"/>
              </w:rPr>
              <w:t xml:space="preserve">received </w:t>
            </w:r>
            <w:r w:rsidRPr="00384B8F">
              <w:rPr>
                <w:rFonts w:asciiTheme="minorHAnsi" w:hAnsiTheme="minorHAnsi" w:cstheme="minorHAnsi"/>
                <w:sz w:val="20"/>
                <w:szCs w:val="20"/>
              </w:rPr>
              <w:t xml:space="preserve">from a Trust/Foundation arising from an advertised competitive </w:t>
            </w:r>
            <w:r w:rsidR="00C72250">
              <w:rPr>
                <w:rFonts w:asciiTheme="minorHAnsi" w:hAnsiTheme="minorHAnsi" w:cstheme="minorHAnsi"/>
                <w:sz w:val="20"/>
                <w:szCs w:val="20"/>
              </w:rPr>
              <w:t xml:space="preserve">research grant </w:t>
            </w:r>
            <w:r w:rsidRPr="00384B8F">
              <w:rPr>
                <w:rFonts w:asciiTheme="minorHAnsi" w:hAnsiTheme="minorHAnsi" w:cstheme="minorHAnsi"/>
                <w:sz w:val="20"/>
                <w:szCs w:val="20"/>
              </w:rPr>
              <w:t>application round</w:t>
            </w:r>
            <w:r w:rsidR="009B436B">
              <w:rPr>
                <w:rFonts w:asciiTheme="minorHAnsi" w:hAnsiTheme="minorHAnsi" w:cstheme="minorHAnsi"/>
                <w:sz w:val="20"/>
                <w:szCs w:val="20"/>
              </w:rPr>
              <w:t xml:space="preserve"> </w:t>
            </w:r>
            <w:r w:rsidR="009B436B" w:rsidRPr="00D8780D">
              <w:rPr>
                <w:rFonts w:asciiTheme="minorHAnsi" w:hAnsiTheme="minorHAnsi" w:cstheme="minorHAnsi"/>
                <w:sz w:val="20"/>
                <w:szCs w:val="20"/>
              </w:rPr>
              <w:t>(see Section 3.2)</w:t>
            </w:r>
          </w:p>
        </w:tc>
      </w:tr>
    </w:tbl>
    <w:p w:rsidR="00023E1F" w:rsidRPr="00023E1F" w:rsidRDefault="00023E1F" w:rsidP="00877F8F">
      <w:pPr>
        <w:spacing w:after="200" w:line="269" w:lineRule="auto"/>
        <w:rPr>
          <w:rFonts w:asciiTheme="minorHAnsi" w:hAnsiTheme="minorHAnsi" w:cstheme="minorHAnsi"/>
          <w:b/>
          <w:sz w:val="22"/>
          <w:szCs w:val="22"/>
        </w:rPr>
      </w:pPr>
    </w:p>
    <w:p w:rsidR="00F24B36" w:rsidRDefault="00F24B36" w:rsidP="00877F8F">
      <w:pPr>
        <w:spacing w:after="200" w:line="269" w:lineRule="auto"/>
        <w:rPr>
          <w:rFonts w:asciiTheme="minorHAnsi" w:hAnsiTheme="minorHAnsi" w:cstheme="minorHAnsi"/>
          <w:b/>
          <w:sz w:val="22"/>
          <w:szCs w:val="22"/>
        </w:rPr>
      </w:pPr>
    </w:p>
    <w:p w:rsidR="00023E1F" w:rsidRPr="00023E1F" w:rsidRDefault="00300047" w:rsidP="00877F8F">
      <w:pPr>
        <w:spacing w:after="200" w:line="269" w:lineRule="auto"/>
        <w:rPr>
          <w:rFonts w:asciiTheme="minorHAnsi" w:hAnsiTheme="minorHAnsi" w:cstheme="minorHAnsi"/>
          <w:b/>
          <w:sz w:val="22"/>
          <w:szCs w:val="22"/>
        </w:rPr>
      </w:pPr>
      <w:r>
        <w:rPr>
          <w:rFonts w:asciiTheme="minorHAnsi" w:hAnsiTheme="minorHAnsi" w:cstheme="minorHAnsi"/>
          <w:b/>
          <w:sz w:val="22"/>
          <w:szCs w:val="22"/>
        </w:rPr>
        <w:t>3</w:t>
      </w:r>
      <w:r w:rsidR="00877F8F">
        <w:rPr>
          <w:rFonts w:asciiTheme="minorHAnsi" w:hAnsiTheme="minorHAnsi" w:cstheme="minorHAnsi"/>
          <w:b/>
          <w:sz w:val="22"/>
          <w:szCs w:val="22"/>
        </w:rPr>
        <w:t>.2</w:t>
      </w:r>
      <w:r w:rsidR="00877F8F">
        <w:rPr>
          <w:rFonts w:asciiTheme="minorHAnsi" w:hAnsiTheme="minorHAnsi" w:cstheme="minorHAnsi"/>
          <w:b/>
          <w:sz w:val="22"/>
          <w:szCs w:val="22"/>
        </w:rPr>
        <w:tab/>
      </w:r>
      <w:r w:rsidR="00023E1F" w:rsidRPr="00023E1F">
        <w:rPr>
          <w:rFonts w:asciiTheme="minorHAnsi" w:hAnsiTheme="minorHAnsi" w:cstheme="minorHAnsi"/>
          <w:b/>
          <w:sz w:val="22"/>
          <w:szCs w:val="22"/>
        </w:rPr>
        <w:t>Trusts/Foundations</w:t>
      </w:r>
    </w:p>
    <w:p w:rsidR="00E357F2" w:rsidRDefault="00C72250" w:rsidP="00877F8F">
      <w:pPr>
        <w:spacing w:after="200" w:line="269" w:lineRule="auto"/>
        <w:rPr>
          <w:rFonts w:asciiTheme="minorHAnsi" w:hAnsiTheme="minorHAnsi" w:cstheme="minorHAnsi"/>
          <w:sz w:val="22"/>
          <w:szCs w:val="22"/>
        </w:rPr>
      </w:pPr>
      <w:r>
        <w:rPr>
          <w:rFonts w:asciiTheme="minorHAnsi" w:hAnsiTheme="minorHAnsi" w:cstheme="minorHAnsi"/>
          <w:sz w:val="22"/>
          <w:szCs w:val="22"/>
        </w:rPr>
        <w:t xml:space="preserve">Further to the final row in the table in 3.1 above, </w:t>
      </w:r>
      <w:r w:rsidR="002E041A">
        <w:rPr>
          <w:rFonts w:asciiTheme="minorHAnsi" w:hAnsiTheme="minorHAnsi" w:cstheme="minorHAnsi"/>
          <w:sz w:val="22"/>
          <w:szCs w:val="22"/>
        </w:rPr>
        <w:t>UNSW receives</w:t>
      </w:r>
      <w:r w:rsidR="00482376">
        <w:rPr>
          <w:rFonts w:asciiTheme="minorHAnsi" w:hAnsiTheme="minorHAnsi" w:cstheme="minorHAnsi"/>
          <w:sz w:val="22"/>
          <w:szCs w:val="22"/>
        </w:rPr>
        <w:t xml:space="preserve"> </w:t>
      </w:r>
      <w:r>
        <w:rPr>
          <w:rFonts w:asciiTheme="minorHAnsi" w:hAnsiTheme="minorHAnsi" w:cstheme="minorHAnsi"/>
          <w:sz w:val="22"/>
          <w:szCs w:val="22"/>
        </w:rPr>
        <w:t xml:space="preserve">general </w:t>
      </w:r>
      <w:r w:rsidR="002E041A">
        <w:rPr>
          <w:rFonts w:asciiTheme="minorHAnsi" w:hAnsiTheme="minorHAnsi" w:cstheme="minorHAnsi"/>
          <w:sz w:val="22"/>
          <w:szCs w:val="22"/>
        </w:rPr>
        <w:t xml:space="preserve">philanthropic support as well as </w:t>
      </w:r>
      <w:r>
        <w:rPr>
          <w:rFonts w:asciiTheme="minorHAnsi" w:hAnsiTheme="minorHAnsi" w:cstheme="minorHAnsi"/>
          <w:sz w:val="22"/>
          <w:szCs w:val="22"/>
        </w:rPr>
        <w:t xml:space="preserve">specific </w:t>
      </w:r>
      <w:r w:rsidR="00EA7E7F" w:rsidRPr="00023E1F">
        <w:rPr>
          <w:rFonts w:asciiTheme="minorHAnsi" w:hAnsiTheme="minorHAnsi" w:cstheme="minorHAnsi"/>
          <w:sz w:val="22"/>
          <w:szCs w:val="22"/>
        </w:rPr>
        <w:t xml:space="preserve">research funding </w:t>
      </w:r>
      <w:r w:rsidR="00482376">
        <w:rPr>
          <w:rFonts w:asciiTheme="minorHAnsi" w:hAnsiTheme="minorHAnsi" w:cstheme="minorHAnsi"/>
          <w:sz w:val="22"/>
          <w:szCs w:val="22"/>
        </w:rPr>
        <w:t>through</w:t>
      </w:r>
      <w:r w:rsidR="00EA7E7F" w:rsidRPr="00023E1F">
        <w:rPr>
          <w:rFonts w:asciiTheme="minorHAnsi" w:hAnsiTheme="minorHAnsi" w:cstheme="minorHAnsi"/>
          <w:sz w:val="22"/>
          <w:szCs w:val="22"/>
        </w:rPr>
        <w:t xml:space="preserve"> advertised competitive application</w:t>
      </w:r>
      <w:r w:rsidR="002E041A">
        <w:rPr>
          <w:rFonts w:asciiTheme="minorHAnsi" w:hAnsiTheme="minorHAnsi" w:cstheme="minorHAnsi"/>
          <w:sz w:val="22"/>
          <w:szCs w:val="22"/>
        </w:rPr>
        <w:t>s</w:t>
      </w:r>
      <w:r w:rsidR="00482376">
        <w:rPr>
          <w:rFonts w:asciiTheme="minorHAnsi" w:hAnsiTheme="minorHAnsi" w:cstheme="minorHAnsi"/>
          <w:sz w:val="22"/>
          <w:szCs w:val="22"/>
        </w:rPr>
        <w:t xml:space="preserve"> from Trusts and Foundations, so there is a need for </w:t>
      </w:r>
      <w:r w:rsidR="005662AC">
        <w:rPr>
          <w:rFonts w:asciiTheme="minorHAnsi" w:hAnsiTheme="minorHAnsi" w:cstheme="minorHAnsi"/>
          <w:sz w:val="22"/>
          <w:szCs w:val="22"/>
        </w:rPr>
        <w:t>clarity for our researchers</w:t>
      </w:r>
      <w:r w:rsidR="00482376">
        <w:rPr>
          <w:rFonts w:asciiTheme="minorHAnsi" w:hAnsiTheme="minorHAnsi" w:cstheme="minorHAnsi"/>
          <w:sz w:val="22"/>
          <w:szCs w:val="22"/>
        </w:rPr>
        <w:t xml:space="preserve"> and for the Trusts/Foundations.</w:t>
      </w:r>
    </w:p>
    <w:p w:rsidR="00482376" w:rsidRDefault="00C72250" w:rsidP="00877F8F">
      <w:pPr>
        <w:spacing w:after="200" w:line="269" w:lineRule="auto"/>
        <w:rPr>
          <w:rFonts w:asciiTheme="minorHAnsi" w:hAnsiTheme="minorHAnsi" w:cstheme="minorHAnsi"/>
          <w:sz w:val="22"/>
          <w:szCs w:val="22"/>
        </w:rPr>
      </w:pPr>
      <w:r>
        <w:rPr>
          <w:rFonts w:asciiTheme="minorHAnsi" w:hAnsiTheme="minorHAnsi" w:cstheme="minorHAnsi"/>
          <w:sz w:val="22"/>
          <w:szCs w:val="22"/>
        </w:rPr>
        <w:t>As a general principle</w:t>
      </w:r>
      <w:r w:rsidR="00E357F2">
        <w:rPr>
          <w:rFonts w:asciiTheme="minorHAnsi" w:hAnsiTheme="minorHAnsi" w:cstheme="minorHAnsi"/>
          <w:sz w:val="22"/>
          <w:szCs w:val="22"/>
        </w:rPr>
        <w:t xml:space="preserve"> it is proposed</w:t>
      </w:r>
      <w:r w:rsidR="00E357F2" w:rsidRPr="009B436B">
        <w:rPr>
          <w:rFonts w:asciiTheme="minorHAnsi" w:hAnsiTheme="minorHAnsi" w:cstheme="minorHAnsi"/>
          <w:sz w:val="22"/>
          <w:szCs w:val="22"/>
        </w:rPr>
        <w:t xml:space="preserve"> </w:t>
      </w:r>
      <w:r w:rsidR="00DD3569">
        <w:rPr>
          <w:rFonts w:asciiTheme="minorHAnsi" w:hAnsiTheme="minorHAnsi" w:cstheme="minorHAnsi"/>
          <w:sz w:val="22"/>
          <w:szCs w:val="22"/>
        </w:rPr>
        <w:t xml:space="preserve">that no </w:t>
      </w:r>
      <w:r w:rsidR="00482376">
        <w:rPr>
          <w:rFonts w:asciiTheme="minorHAnsi" w:hAnsiTheme="minorHAnsi" w:cstheme="minorHAnsi"/>
          <w:sz w:val="22"/>
          <w:szCs w:val="22"/>
        </w:rPr>
        <w:t xml:space="preserve">approach is made to a Trust/Foundation without prior consultation between the Division </w:t>
      </w:r>
      <w:r>
        <w:rPr>
          <w:rFonts w:asciiTheme="minorHAnsi" w:hAnsiTheme="minorHAnsi" w:cstheme="minorHAnsi"/>
          <w:sz w:val="22"/>
          <w:szCs w:val="22"/>
        </w:rPr>
        <w:t xml:space="preserve">of </w:t>
      </w:r>
      <w:r w:rsidR="00482376">
        <w:rPr>
          <w:rFonts w:asciiTheme="minorHAnsi" w:hAnsiTheme="minorHAnsi" w:cstheme="minorHAnsi"/>
          <w:sz w:val="22"/>
          <w:szCs w:val="22"/>
        </w:rPr>
        <w:t xml:space="preserve">Advancement and the Division </w:t>
      </w:r>
      <w:r>
        <w:rPr>
          <w:rFonts w:asciiTheme="minorHAnsi" w:hAnsiTheme="minorHAnsi" w:cstheme="minorHAnsi"/>
          <w:sz w:val="22"/>
          <w:szCs w:val="22"/>
        </w:rPr>
        <w:t xml:space="preserve">of </w:t>
      </w:r>
      <w:r w:rsidR="00482376">
        <w:rPr>
          <w:rFonts w:asciiTheme="minorHAnsi" w:hAnsiTheme="minorHAnsi" w:cstheme="minorHAnsi"/>
          <w:sz w:val="22"/>
          <w:szCs w:val="22"/>
        </w:rPr>
        <w:t>Research.</w:t>
      </w:r>
    </w:p>
    <w:p w:rsidR="005662AC" w:rsidRDefault="00C72250" w:rsidP="00877F8F">
      <w:pPr>
        <w:spacing w:after="200" w:line="269" w:lineRule="auto"/>
        <w:rPr>
          <w:rFonts w:asciiTheme="minorHAnsi" w:hAnsiTheme="minorHAnsi" w:cstheme="minorHAnsi"/>
          <w:sz w:val="22"/>
          <w:szCs w:val="22"/>
        </w:rPr>
      </w:pPr>
      <w:r>
        <w:rPr>
          <w:rFonts w:asciiTheme="minorHAnsi" w:hAnsiTheme="minorHAnsi" w:cstheme="minorHAnsi"/>
          <w:sz w:val="22"/>
          <w:szCs w:val="22"/>
        </w:rPr>
        <w:t>T</w:t>
      </w:r>
      <w:r w:rsidR="00E357F2">
        <w:rPr>
          <w:rFonts w:asciiTheme="minorHAnsi" w:hAnsiTheme="minorHAnsi" w:cstheme="minorHAnsi"/>
          <w:sz w:val="22"/>
          <w:szCs w:val="22"/>
        </w:rPr>
        <w:t xml:space="preserve">he </w:t>
      </w:r>
      <w:r w:rsidR="005662AC">
        <w:rPr>
          <w:rFonts w:asciiTheme="minorHAnsi" w:hAnsiTheme="minorHAnsi" w:cstheme="minorHAnsi"/>
          <w:sz w:val="22"/>
          <w:szCs w:val="22"/>
        </w:rPr>
        <w:t xml:space="preserve">contact point for researchers </w:t>
      </w:r>
      <w:r>
        <w:rPr>
          <w:rFonts w:asciiTheme="minorHAnsi" w:hAnsiTheme="minorHAnsi" w:cstheme="minorHAnsi"/>
          <w:sz w:val="22"/>
          <w:szCs w:val="22"/>
        </w:rPr>
        <w:t>submitting research grant</w:t>
      </w:r>
      <w:r w:rsidR="005662AC">
        <w:rPr>
          <w:rFonts w:asciiTheme="minorHAnsi" w:hAnsiTheme="minorHAnsi" w:cstheme="minorHAnsi"/>
          <w:sz w:val="22"/>
          <w:szCs w:val="22"/>
        </w:rPr>
        <w:t xml:space="preserve"> applications to Trusts/Foundations </w:t>
      </w:r>
      <w:r>
        <w:rPr>
          <w:rFonts w:asciiTheme="minorHAnsi" w:hAnsiTheme="minorHAnsi" w:cstheme="minorHAnsi"/>
          <w:sz w:val="22"/>
          <w:szCs w:val="22"/>
        </w:rPr>
        <w:t xml:space="preserve">in response to an advertised competitive research grant scheme </w:t>
      </w:r>
      <w:r w:rsidR="005662AC">
        <w:rPr>
          <w:rFonts w:asciiTheme="minorHAnsi" w:hAnsiTheme="minorHAnsi" w:cstheme="minorHAnsi"/>
          <w:sz w:val="22"/>
          <w:szCs w:val="22"/>
        </w:rPr>
        <w:t xml:space="preserve">is the Division of Research.  It has the expertise to draft and submit the applications, </w:t>
      </w:r>
      <w:proofErr w:type="gramStart"/>
      <w:r w:rsidR="005662AC">
        <w:rPr>
          <w:rFonts w:asciiTheme="minorHAnsi" w:hAnsiTheme="minorHAnsi" w:cstheme="minorHAnsi"/>
          <w:sz w:val="22"/>
          <w:szCs w:val="22"/>
        </w:rPr>
        <w:t>manage</w:t>
      </w:r>
      <w:proofErr w:type="gramEnd"/>
      <w:r w:rsidR="005662AC">
        <w:rPr>
          <w:rFonts w:asciiTheme="minorHAnsi" w:hAnsiTheme="minorHAnsi" w:cstheme="minorHAnsi"/>
          <w:sz w:val="22"/>
          <w:szCs w:val="22"/>
        </w:rPr>
        <w:t xml:space="preserve"> the projects and knows and is known by the researchers.</w:t>
      </w:r>
      <w:r>
        <w:rPr>
          <w:rFonts w:asciiTheme="minorHAnsi" w:hAnsiTheme="minorHAnsi" w:cstheme="minorHAnsi"/>
          <w:sz w:val="22"/>
          <w:szCs w:val="22"/>
        </w:rPr>
        <w:t xml:space="preserve"> Any research grant funds awarded will be managed by the Division of Research</w:t>
      </w:r>
      <w:r w:rsidR="003E496B">
        <w:rPr>
          <w:rFonts w:asciiTheme="minorHAnsi" w:hAnsiTheme="minorHAnsi" w:cstheme="minorHAnsi"/>
          <w:sz w:val="22"/>
          <w:szCs w:val="22"/>
        </w:rPr>
        <w:t>. In these situations, the Indirect Costs of Research Policy and Procedure will apply.</w:t>
      </w:r>
    </w:p>
    <w:p w:rsidR="00482376" w:rsidRDefault="00C72250" w:rsidP="00877F8F">
      <w:pPr>
        <w:spacing w:after="200" w:line="269" w:lineRule="auto"/>
        <w:rPr>
          <w:rFonts w:asciiTheme="minorHAnsi" w:hAnsiTheme="minorHAnsi" w:cstheme="minorHAnsi"/>
          <w:sz w:val="22"/>
          <w:szCs w:val="22"/>
        </w:rPr>
      </w:pPr>
      <w:r>
        <w:rPr>
          <w:rFonts w:asciiTheme="minorHAnsi" w:hAnsiTheme="minorHAnsi" w:cstheme="minorHAnsi"/>
          <w:sz w:val="22"/>
          <w:szCs w:val="22"/>
        </w:rPr>
        <w:t>For all other forms of engagement, t</w:t>
      </w:r>
      <w:r w:rsidR="005662AC">
        <w:rPr>
          <w:rFonts w:asciiTheme="minorHAnsi" w:hAnsiTheme="minorHAnsi" w:cstheme="minorHAnsi"/>
          <w:sz w:val="22"/>
          <w:szCs w:val="22"/>
        </w:rPr>
        <w:t>he contact point for Trusts/Foundations is the Division of Advancement.  It has the expertise to develop and implement cultivation and engagement strategies</w:t>
      </w:r>
      <w:r w:rsidR="003726D5">
        <w:rPr>
          <w:rFonts w:asciiTheme="minorHAnsi" w:hAnsiTheme="minorHAnsi" w:cstheme="minorHAnsi"/>
          <w:sz w:val="22"/>
          <w:szCs w:val="22"/>
        </w:rPr>
        <w:t>, whic</w:t>
      </w:r>
      <w:r w:rsidR="005662AC">
        <w:rPr>
          <w:rFonts w:asciiTheme="minorHAnsi" w:hAnsiTheme="minorHAnsi" w:cstheme="minorHAnsi"/>
          <w:sz w:val="22"/>
          <w:szCs w:val="22"/>
        </w:rPr>
        <w:t xml:space="preserve">h will increase </w:t>
      </w:r>
      <w:r w:rsidR="00482376">
        <w:rPr>
          <w:rFonts w:asciiTheme="minorHAnsi" w:hAnsiTheme="minorHAnsi" w:cstheme="minorHAnsi"/>
          <w:sz w:val="22"/>
          <w:szCs w:val="22"/>
        </w:rPr>
        <w:t>the University’s</w:t>
      </w:r>
      <w:r w:rsidR="005662AC">
        <w:rPr>
          <w:rFonts w:asciiTheme="minorHAnsi" w:hAnsiTheme="minorHAnsi" w:cstheme="minorHAnsi"/>
          <w:sz w:val="22"/>
          <w:szCs w:val="22"/>
        </w:rPr>
        <w:t xml:space="preserve"> success rate.</w:t>
      </w:r>
      <w:r w:rsidR="003726D5">
        <w:rPr>
          <w:rFonts w:asciiTheme="minorHAnsi" w:hAnsiTheme="minorHAnsi" w:cstheme="minorHAnsi"/>
          <w:sz w:val="22"/>
          <w:szCs w:val="22"/>
        </w:rPr>
        <w:t xml:space="preserve">  It may often have existing relationships with the Trust/Foundation as these </w:t>
      </w:r>
      <w:proofErr w:type="spellStart"/>
      <w:r w:rsidR="003E496B">
        <w:rPr>
          <w:rFonts w:asciiTheme="minorHAnsi" w:hAnsiTheme="minorHAnsi" w:cstheme="minorHAnsi"/>
          <w:sz w:val="22"/>
          <w:szCs w:val="22"/>
        </w:rPr>
        <w:t>organisations</w:t>
      </w:r>
      <w:proofErr w:type="spellEnd"/>
      <w:r w:rsidR="003726D5">
        <w:rPr>
          <w:rFonts w:asciiTheme="minorHAnsi" w:hAnsiTheme="minorHAnsi" w:cstheme="minorHAnsi"/>
          <w:sz w:val="22"/>
          <w:szCs w:val="22"/>
        </w:rPr>
        <w:t xml:space="preserve"> are set up to make philanthropic contributions.</w:t>
      </w:r>
      <w:r>
        <w:rPr>
          <w:rFonts w:asciiTheme="minorHAnsi" w:hAnsiTheme="minorHAnsi" w:cstheme="minorHAnsi"/>
          <w:sz w:val="22"/>
          <w:szCs w:val="22"/>
        </w:rPr>
        <w:t xml:space="preserve"> Any gifts received</w:t>
      </w:r>
      <w:r w:rsidR="00B54D4B">
        <w:rPr>
          <w:rFonts w:asciiTheme="minorHAnsi" w:hAnsiTheme="minorHAnsi" w:cstheme="minorHAnsi"/>
          <w:sz w:val="22"/>
          <w:szCs w:val="22"/>
        </w:rPr>
        <w:t xml:space="preserve"> </w:t>
      </w:r>
      <w:r w:rsidR="003726D5">
        <w:rPr>
          <w:rFonts w:asciiTheme="minorHAnsi" w:hAnsiTheme="minorHAnsi" w:cstheme="minorHAnsi"/>
          <w:sz w:val="22"/>
          <w:szCs w:val="22"/>
        </w:rPr>
        <w:t xml:space="preserve">from Trusts/Foundations </w:t>
      </w:r>
      <w:r w:rsidR="00482376">
        <w:rPr>
          <w:rFonts w:asciiTheme="minorHAnsi" w:hAnsiTheme="minorHAnsi" w:cstheme="minorHAnsi"/>
          <w:sz w:val="22"/>
          <w:szCs w:val="22"/>
        </w:rPr>
        <w:t xml:space="preserve">should be receipted into </w:t>
      </w:r>
      <w:proofErr w:type="spellStart"/>
      <w:r w:rsidR="00482376">
        <w:rPr>
          <w:rFonts w:asciiTheme="minorHAnsi" w:hAnsiTheme="minorHAnsi" w:cstheme="minorHAnsi"/>
          <w:sz w:val="22"/>
          <w:szCs w:val="22"/>
        </w:rPr>
        <w:t>Donat_UNSW</w:t>
      </w:r>
      <w:proofErr w:type="spellEnd"/>
      <w:r w:rsidR="006E717A">
        <w:rPr>
          <w:rFonts w:asciiTheme="minorHAnsi" w:hAnsiTheme="minorHAnsi" w:cstheme="minorHAnsi"/>
          <w:sz w:val="22"/>
          <w:szCs w:val="22"/>
        </w:rPr>
        <w:t xml:space="preserve"> to ensure we meet our legal obligations and reputational objectives.</w:t>
      </w:r>
    </w:p>
    <w:p w:rsidR="005662AC" w:rsidRDefault="003726D5" w:rsidP="00877F8F">
      <w:pPr>
        <w:spacing w:after="200" w:line="269" w:lineRule="auto"/>
        <w:rPr>
          <w:rFonts w:asciiTheme="minorHAnsi" w:hAnsiTheme="minorHAnsi" w:cstheme="minorHAnsi"/>
          <w:sz w:val="22"/>
          <w:szCs w:val="22"/>
        </w:rPr>
      </w:pPr>
      <w:r>
        <w:rPr>
          <w:rFonts w:asciiTheme="minorHAnsi" w:hAnsiTheme="minorHAnsi" w:cstheme="minorHAnsi"/>
          <w:sz w:val="22"/>
          <w:szCs w:val="22"/>
        </w:rPr>
        <w:t>Working together on these projects w</w:t>
      </w:r>
      <w:r w:rsidR="00B54D4B">
        <w:rPr>
          <w:rFonts w:asciiTheme="minorHAnsi" w:hAnsiTheme="minorHAnsi" w:cstheme="minorHAnsi"/>
          <w:sz w:val="22"/>
          <w:szCs w:val="22"/>
        </w:rPr>
        <w:t>ill</w:t>
      </w:r>
      <w:r>
        <w:rPr>
          <w:rFonts w:asciiTheme="minorHAnsi" w:hAnsiTheme="minorHAnsi" w:cstheme="minorHAnsi"/>
          <w:sz w:val="22"/>
          <w:szCs w:val="22"/>
        </w:rPr>
        <w:t xml:space="preserve"> inevitably lead to greater cooperation and knowledge across UNSW.</w:t>
      </w:r>
    </w:p>
    <w:p w:rsidR="008A2565" w:rsidRPr="00023E1F" w:rsidRDefault="003A3EF0" w:rsidP="00877F8F">
      <w:pPr>
        <w:spacing w:after="200" w:line="269" w:lineRule="auto"/>
        <w:rPr>
          <w:rFonts w:asciiTheme="minorHAnsi" w:hAnsiTheme="minorHAnsi" w:cstheme="minorHAnsi"/>
          <w:sz w:val="22"/>
          <w:szCs w:val="22"/>
        </w:rPr>
      </w:pPr>
      <w:r>
        <w:rPr>
          <w:rFonts w:asciiTheme="minorHAnsi" w:hAnsiTheme="minorHAnsi" w:cstheme="minorHAnsi"/>
          <w:sz w:val="22"/>
          <w:szCs w:val="22"/>
        </w:rPr>
        <w:t>A process for dual recognition of funding</w:t>
      </w:r>
      <w:r w:rsidR="00822B0E">
        <w:rPr>
          <w:rFonts w:asciiTheme="minorHAnsi" w:hAnsiTheme="minorHAnsi" w:cstheme="minorHAnsi"/>
          <w:sz w:val="22"/>
          <w:szCs w:val="22"/>
        </w:rPr>
        <w:t xml:space="preserve"> will be developed.</w:t>
      </w:r>
    </w:p>
    <w:p w:rsidR="00023E1F" w:rsidRPr="00023E1F" w:rsidRDefault="00300047" w:rsidP="00877F8F">
      <w:pPr>
        <w:spacing w:after="200" w:line="269" w:lineRule="auto"/>
        <w:rPr>
          <w:rFonts w:asciiTheme="minorHAnsi" w:hAnsiTheme="minorHAnsi" w:cstheme="minorHAnsi"/>
          <w:b/>
          <w:sz w:val="22"/>
          <w:szCs w:val="22"/>
        </w:rPr>
      </w:pPr>
      <w:r>
        <w:rPr>
          <w:rFonts w:asciiTheme="minorHAnsi" w:hAnsiTheme="minorHAnsi" w:cstheme="minorHAnsi"/>
          <w:b/>
          <w:sz w:val="22"/>
          <w:szCs w:val="22"/>
        </w:rPr>
        <w:t>3</w:t>
      </w:r>
      <w:r w:rsidR="00877F8F">
        <w:rPr>
          <w:rFonts w:asciiTheme="minorHAnsi" w:hAnsiTheme="minorHAnsi" w:cstheme="minorHAnsi"/>
          <w:b/>
          <w:sz w:val="22"/>
          <w:szCs w:val="22"/>
        </w:rPr>
        <w:t>.3</w:t>
      </w:r>
      <w:r w:rsidR="00877F8F">
        <w:rPr>
          <w:rFonts w:asciiTheme="minorHAnsi" w:hAnsiTheme="minorHAnsi" w:cstheme="minorHAnsi"/>
          <w:b/>
          <w:sz w:val="22"/>
          <w:szCs w:val="22"/>
        </w:rPr>
        <w:tab/>
      </w:r>
      <w:r w:rsidR="00023E1F" w:rsidRPr="00023E1F">
        <w:rPr>
          <w:rFonts w:asciiTheme="minorHAnsi" w:hAnsiTheme="minorHAnsi" w:cstheme="minorHAnsi"/>
          <w:b/>
          <w:sz w:val="22"/>
          <w:szCs w:val="22"/>
        </w:rPr>
        <w:t>Process for clarification</w:t>
      </w:r>
    </w:p>
    <w:p w:rsidR="00023E1F" w:rsidRDefault="00023E1F" w:rsidP="00384B8F">
      <w:pPr>
        <w:spacing w:after="200" w:line="269" w:lineRule="auto"/>
        <w:rPr>
          <w:rFonts w:asciiTheme="minorHAnsi" w:hAnsiTheme="minorHAnsi" w:cstheme="minorHAnsi"/>
          <w:sz w:val="22"/>
          <w:szCs w:val="22"/>
        </w:rPr>
      </w:pPr>
      <w:r w:rsidRPr="00023E1F">
        <w:rPr>
          <w:rFonts w:asciiTheme="minorHAnsi" w:hAnsiTheme="minorHAnsi" w:cstheme="minorHAnsi"/>
          <w:sz w:val="22"/>
          <w:szCs w:val="22"/>
        </w:rPr>
        <w:t>When it is not clear which Division should manage or receipt a particular contribution or funding, a representative of each Division (Director GMO/Director Development) should discuss the issue to come to a resolution.  If after discussion agreement is not reached, the Head of each Division (or their nominee) should be consulted.</w:t>
      </w:r>
    </w:p>
    <w:sectPr w:rsidR="00023E1F" w:rsidSect="00EA450A">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5D1" w:rsidRDefault="001045D1" w:rsidP="00360215">
      <w:r>
        <w:separator/>
      </w:r>
    </w:p>
  </w:endnote>
  <w:endnote w:type="continuationSeparator" w:id="0">
    <w:p w:rsidR="001045D1" w:rsidRDefault="001045D1" w:rsidP="003602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Optima LT Std">
    <w:panose1 w:val="020B0502050508020304"/>
    <w:charset w:val="00"/>
    <w:family w:val="swiss"/>
    <w:notTrueType/>
    <w:pitch w:val="variable"/>
    <w:sig w:usb0="800000AF" w:usb1="4000204A" w:usb2="00000000" w:usb3="00000000" w:csb0="00000001" w:csb1="00000000"/>
  </w:font>
  <w:font w:name="Sommet">
    <w:panose1 w:val="02000505000000020004"/>
    <w:charset w:val="00"/>
    <w:family w:val="modern"/>
    <w:notTrueType/>
    <w:pitch w:val="variable"/>
    <w:sig w:usb0="A00000AF" w:usb1="5000005B" w:usb2="00000000" w:usb3="00000000" w:csb0="000001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A5" w:rsidRDefault="00E325BD" w:rsidP="00232626">
    <w:pPr>
      <w:pStyle w:val="Footeroption"/>
      <w:tabs>
        <w:tab w:val="right" w:pos="9026"/>
      </w:tabs>
    </w:pPr>
    <w:r>
      <w:rPr>
        <w:noProof/>
        <w:lang w:eastAsia="en-AU"/>
      </w:rPr>
      <w:pict>
        <v:rect id="Rectangle 19" o:spid="_x0000_s4101" style="position:absolute;margin-left:415.4pt;margin-top:-5.3pt;width:44.7pt;height:1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" fillcolor="#5a5a5a [2109]" stroked="f" strokecolor="#5a5a5a [2109]">
          <v:textbox>
            <w:txbxContent>
              <w:p w:rsidR="00E815A5" w:rsidRPr="00DA326C" w:rsidRDefault="00E325BD" w:rsidP="00232626">
                <w:pPr>
                  <w:pStyle w:val="Footeroption"/>
                  <w:rPr>
                    <w:color w:val="FFFFFF" w:themeColor="background1"/>
                    <w:szCs w:val="16"/>
                  </w:rPr>
                </w:pPr>
                <w:r w:rsidRPr="00DA326C">
                  <w:rPr>
                    <w:noProof/>
                    <w:color w:val="FFFFFF" w:themeColor="background1"/>
                    <w:szCs w:val="16"/>
                    <w:lang w:eastAsia="en-AU"/>
                  </w:rPr>
                  <w:fldChar w:fldCharType="begin"/>
                </w:r>
                <w:r w:rsidR="00E815A5"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E72FDB">
                  <w:rPr>
                    <w:noProof/>
                    <w:color w:val="FFFFFF" w:themeColor="background1"/>
                    <w:szCs w:val="16"/>
                    <w:lang w:eastAsia="en-AU"/>
                  </w:rPr>
                  <w:t>2</w:t>
                </w:r>
                <w:r w:rsidRPr="00DA326C">
                  <w:rPr>
                    <w:noProof/>
                    <w:color w:val="FFFFFF" w:themeColor="background1"/>
                    <w:szCs w:val="16"/>
                    <w:lang w:eastAsia="en-AU"/>
                  </w:rPr>
                  <w:fldChar w:fldCharType="end"/>
                </w:r>
              </w:p>
              <w:p w:rsidR="00E815A5" w:rsidRDefault="00E815A5" w:rsidP="00232626"/>
            </w:txbxContent>
          </v:textbox>
        </v:rect>
      </w:pict>
    </w:r>
    <w:r>
      <w:rPr>
        <w:noProof/>
        <w:lang w:eastAsia="en-AU"/>
      </w:rPr>
      <w:pict>
        <v:shapetype id="_x0000_t32" coordsize="21600,21600" o:spt="32" o:oned="t" path="m,l21600,21600e" filled="f">
          <v:path arrowok="t" fillok="f" o:connecttype="none"/>
          <o:lock v:ext="edit" shapetype="t"/>
        </v:shapetype>
        <v:shape id="AutoShape 18" o:spid="_x0000_s4100" type="#_x0000_t32" style="position:absolute;margin-left:-71.55pt;margin-top:-20.35pt;width:595.1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" strokecolor="#ffd700" strokeweight="4p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A5" w:rsidRPr="00DA3E13" w:rsidRDefault="00E325BD" w:rsidP="00232626">
    <w:pPr>
      <w:pStyle w:val="Footeroption"/>
      <w:tabs>
        <w:tab w:val="right" w:pos="9026"/>
      </w:tabs>
      <w:rPr>
        <w:i/>
      </w:rPr>
    </w:pPr>
    <w:r>
      <w:rPr>
        <w:i/>
        <w:noProof/>
        <w:lang w:eastAsia="en-AU"/>
      </w:rPr>
      <w:pict>
        <v:rect id="Rectangle 17" o:spid="_x0000_s4098" style="position:absolute;margin-left:415.4pt;margin-top:-5.3pt;width:44.7pt;height:19.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" fillcolor="#5a5a5a [2109]" stroked="f" strokecolor="#5a5a5a [2109]">
          <v:textbox>
            <w:txbxContent>
              <w:p w:rsidR="00E815A5" w:rsidRPr="00DA326C" w:rsidRDefault="00E325BD" w:rsidP="00232626">
                <w:pPr>
                  <w:pStyle w:val="Footeroption"/>
                  <w:rPr>
                    <w:color w:val="FFFFFF" w:themeColor="background1"/>
                    <w:szCs w:val="16"/>
                  </w:rPr>
                </w:pPr>
                <w:r w:rsidRPr="00DA326C">
                  <w:rPr>
                    <w:noProof/>
                    <w:color w:val="FFFFFF" w:themeColor="background1"/>
                    <w:szCs w:val="16"/>
                    <w:lang w:eastAsia="en-AU"/>
                  </w:rPr>
                  <w:fldChar w:fldCharType="begin"/>
                </w:r>
                <w:r w:rsidR="00E815A5"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E72FDB">
                  <w:rPr>
                    <w:noProof/>
                    <w:color w:val="FFFFFF" w:themeColor="background1"/>
                    <w:szCs w:val="16"/>
                    <w:lang w:eastAsia="en-AU"/>
                  </w:rPr>
                  <w:t>1</w:t>
                </w:r>
                <w:r w:rsidRPr="00DA326C">
                  <w:rPr>
                    <w:noProof/>
                    <w:color w:val="FFFFFF" w:themeColor="background1"/>
                    <w:szCs w:val="16"/>
                    <w:lang w:eastAsia="en-AU"/>
                  </w:rPr>
                  <w:fldChar w:fldCharType="end"/>
                </w:r>
              </w:p>
              <w:p w:rsidR="00E815A5" w:rsidRDefault="00E815A5" w:rsidP="00232626"/>
            </w:txbxContent>
          </v:textbox>
        </v:rect>
      </w:pict>
    </w:r>
    <w:r>
      <w:rPr>
        <w:i/>
        <w:noProof/>
        <w:lang w:eastAsia="en-AU"/>
      </w:rPr>
      <w:pict>
        <v:shapetype id="_x0000_t32" coordsize="21600,21600" o:spt="32" o:oned="t" path="m,l21600,21600e" filled="f">
          <v:path arrowok="t" fillok="f" o:connecttype="none"/>
          <o:lock v:ext="edit" shapetype="t"/>
        </v:shapetype>
        <v:shape id="AutoShape 16" o:spid="_x0000_s4097" type="#_x0000_t32" style="position:absolute;margin-left:-71.55pt;margin-top:-20.35pt;width:595.1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" strokecolor="#ffd700" strokeweight="4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5D1" w:rsidRDefault="001045D1" w:rsidP="00360215">
      <w:r>
        <w:separator/>
      </w:r>
    </w:p>
  </w:footnote>
  <w:footnote w:type="continuationSeparator" w:id="0">
    <w:p w:rsidR="001045D1" w:rsidRDefault="001045D1" w:rsidP="00360215">
      <w:r>
        <w:continuationSeparator/>
      </w:r>
    </w:p>
  </w:footnote>
  <w:footnote w:id="1">
    <w:p w:rsidR="00E815A5" w:rsidRPr="00023E1F" w:rsidRDefault="00E815A5" w:rsidP="00902072">
      <w:pPr>
        <w:rPr>
          <w:rFonts w:asciiTheme="minorHAnsi" w:hAnsiTheme="minorHAnsi" w:cstheme="minorHAnsi"/>
          <w:sz w:val="16"/>
          <w:szCs w:val="16"/>
        </w:rPr>
      </w:pPr>
      <w:r w:rsidRPr="00023E1F">
        <w:rPr>
          <w:rStyle w:val="FootnoteReference"/>
          <w:rFonts w:asciiTheme="minorHAnsi" w:hAnsiTheme="minorHAnsi" w:cstheme="minorHAnsi"/>
          <w:sz w:val="16"/>
          <w:szCs w:val="16"/>
        </w:rPr>
        <w:footnoteRef/>
      </w:r>
      <w:r w:rsidRPr="00023E1F">
        <w:rPr>
          <w:rFonts w:asciiTheme="minorHAnsi" w:hAnsiTheme="minorHAnsi" w:cstheme="minorHAnsi"/>
          <w:sz w:val="16"/>
          <w:szCs w:val="16"/>
        </w:rPr>
        <w:t xml:space="preserve"> Research is defined as the creation of new knowledge and/or the use of existing knowledge in a new and creative way so as to generate new concepts, methodologies and understandings. This could include synthesis and analysis of previous research to the extent that it leads to new and creative outcomes. See full definition at </w:t>
      </w:r>
      <w:hyperlink r:id="rId1" w:history="1">
        <w:r w:rsidRPr="00023E1F">
          <w:rPr>
            <w:rStyle w:val="Hyperlink"/>
            <w:rFonts w:asciiTheme="minorHAnsi" w:hAnsiTheme="minorHAnsi" w:cstheme="minorHAnsi"/>
            <w:sz w:val="16"/>
            <w:szCs w:val="16"/>
          </w:rPr>
          <w:t>http://research.unsw.edu.au/sites/all/files/related_files/regular_page_content/definition_of_research_0.pdf</w:t>
        </w:r>
      </w:hyperlink>
      <w:r w:rsidRPr="00023E1F">
        <w:rPr>
          <w:rFonts w:asciiTheme="minorHAnsi" w:hAnsiTheme="minorHAnsi" w:cstheme="minorHAnsi"/>
          <w:sz w:val="16"/>
          <w:szCs w:val="16"/>
        </w:rPr>
        <w:t xml:space="preserve"> </w:t>
      </w:r>
    </w:p>
  </w:footnote>
  <w:footnote w:id="2">
    <w:p w:rsidR="00E815A5" w:rsidRPr="00023E1F" w:rsidRDefault="00E815A5" w:rsidP="00902072">
      <w:pPr>
        <w:pStyle w:val="FootnoteText"/>
        <w:rPr>
          <w:rFonts w:asciiTheme="minorHAnsi" w:hAnsiTheme="minorHAnsi" w:cstheme="minorHAnsi"/>
          <w:sz w:val="16"/>
          <w:szCs w:val="16"/>
          <w:lang w:val="en-AU"/>
        </w:rPr>
      </w:pPr>
      <w:r w:rsidRPr="00023E1F">
        <w:rPr>
          <w:rStyle w:val="FootnoteReference"/>
          <w:rFonts w:asciiTheme="minorHAnsi" w:hAnsiTheme="minorHAnsi" w:cstheme="minorHAnsi"/>
          <w:sz w:val="16"/>
          <w:szCs w:val="16"/>
        </w:rPr>
        <w:footnoteRef/>
      </w:r>
      <w:r w:rsidRPr="00023E1F">
        <w:rPr>
          <w:rFonts w:asciiTheme="minorHAnsi" w:hAnsiTheme="minorHAnsi" w:cstheme="minorHAnsi"/>
          <w:sz w:val="16"/>
          <w:szCs w:val="16"/>
        </w:rPr>
        <w:t xml:space="preserve"> </w:t>
      </w:r>
      <w:r w:rsidRPr="00023E1F">
        <w:rPr>
          <w:rFonts w:asciiTheme="minorHAnsi" w:hAnsiTheme="minorHAnsi" w:cstheme="minorHAnsi"/>
          <w:sz w:val="16"/>
          <w:szCs w:val="16"/>
          <w:lang w:val="en-AU"/>
        </w:rPr>
        <w:t>The Go8 Benchmarking Survey collects standard measures of philanthropic support to the Go8 universities.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87A" w:rsidRDefault="00A348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A5" w:rsidRDefault="00E815A5" w:rsidP="00EA450A">
    <w:pPr>
      <w:pStyle w:val="Header"/>
    </w:pPr>
    <w:r>
      <w:rPr>
        <w:noProof/>
        <w:lang w:eastAsia="en-AU"/>
      </w:rPr>
      <w:drawing>
        <wp:anchor distT="0" distB="0" distL="114300" distR="114300" simplePos="0" relativeHeight="251654656" behindDoc="0" locked="0" layoutInCell="1" allowOverlap="1">
          <wp:simplePos x="0" y="0"/>
          <wp:positionH relativeFrom="column">
            <wp:posOffset>-914400</wp:posOffset>
          </wp:positionH>
          <wp:positionV relativeFrom="paragraph">
            <wp:posOffset>26670</wp:posOffset>
          </wp:positionV>
          <wp:extent cx="7562850" cy="1781175"/>
          <wp:effectExtent l="19050" t="0" r="0" b="0"/>
          <wp:wrapNone/>
          <wp:docPr id="1" name="Picture 1" descr="C:\Documents and Settings\z3349205\Desktop\UNSWAUST_heade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z3349205\Desktop\UNSWAUST_header RGB.jpg"/>
                  <pic:cNvPicPr>
                    <a:picLocks noChangeAspect="1" noChangeArrowheads="1"/>
                  </pic:cNvPicPr>
                </pic:nvPicPr>
                <pic:blipFill>
                  <a:blip r:embed="rId1"/>
                  <a:srcRect/>
                  <a:stretch>
                    <a:fillRect/>
                  </a:stretch>
                </pic:blipFill>
                <pic:spPr bwMode="auto">
                  <a:xfrm>
                    <a:off x="0" y="0"/>
                    <a:ext cx="7562850" cy="1781175"/>
                  </a:xfrm>
                  <a:prstGeom prst="rect">
                    <a:avLst/>
                  </a:prstGeom>
                  <a:noFill/>
                  <a:ln w="9525">
                    <a:noFill/>
                    <a:miter lim="800000"/>
                    <a:headEnd/>
                    <a:tailEnd/>
                  </a:ln>
                </pic:spPr>
              </pic:pic>
            </a:graphicData>
          </a:graphic>
        </wp:anchor>
      </w:drawing>
    </w:r>
    <w:r w:rsidR="00E325BD">
      <w:rPr>
        <w:noProof/>
        <w:lang w:eastAsia="en-AU"/>
      </w:rPr>
      <w:pict>
        <v:shapetype id="_x0000_t202" coordsize="21600,21600" o:spt="202" path="m,l,21600r21600,l21600,xe">
          <v:stroke joinstyle="miter"/>
          <v:path gradientshapeok="t" o:connecttype="rect"/>
        </v:shapetype>
        <v:shape id="Text Box 10" o:spid="_x0000_s4099" type="#_x0000_t202" style="position:absolute;margin-left:109.5pt;margin-top:65.1pt;width:402.15pt;height:6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" o:allowincell="f" filled="f" stroked="f">
          <v:textbox inset="0,0,0,0">
            <w:txbxContent>
              <w:p w:rsidR="00A3487A" w:rsidRPr="00DD3569" w:rsidRDefault="00DD3569" w:rsidP="00DD3569">
                <w:pPr>
                  <w:rPr>
                    <w:rFonts w:ascii="Sommet" w:hAnsi="Sommet"/>
                    <w:sz w:val="36"/>
                    <w:szCs w:val="36"/>
                    <w:lang w:val="en-AU"/>
                  </w:rPr>
                </w:pPr>
                <w:r w:rsidRPr="00DD3569">
                  <w:rPr>
                    <w:rFonts w:ascii="Sommet" w:hAnsi="Sommet"/>
                    <w:sz w:val="36"/>
                    <w:szCs w:val="36"/>
                    <w:lang w:val="en-AU"/>
                  </w:rPr>
                  <w:t xml:space="preserve">Background Paper for </w:t>
                </w:r>
                <w:r w:rsidRPr="00DD3569">
                  <w:rPr>
                    <w:rFonts w:ascii="Sommet" w:hAnsi="Sommet"/>
                    <w:sz w:val="36"/>
                    <w:szCs w:val="36"/>
                  </w:rPr>
                  <w:t>Divisions of Advancement and Research Workshop</w:t>
                </w:r>
                <w:r w:rsidR="00E815A5" w:rsidRPr="00DD3569">
                  <w:rPr>
                    <w:rFonts w:ascii="Sommet" w:hAnsi="Sommet"/>
                    <w:sz w:val="36"/>
                    <w:szCs w:val="36"/>
                    <w:lang w:val="en-AU"/>
                  </w:rPr>
                  <w:t xml:space="preserve"> </w:t>
                </w:r>
                <w:r w:rsidR="00A3487A" w:rsidRPr="00DD3569">
                  <w:rPr>
                    <w:rFonts w:ascii="Sommet" w:hAnsi="Sommet"/>
                    <w:sz w:val="36"/>
                    <w:szCs w:val="36"/>
                    <w:lang w:val="en-AU"/>
                  </w:rPr>
                  <w:t xml:space="preserve">in </w:t>
                </w:r>
                <w:r>
                  <w:rPr>
                    <w:rFonts w:ascii="Sommet" w:hAnsi="Sommet"/>
                    <w:sz w:val="36"/>
                    <w:szCs w:val="36"/>
                    <w:lang w:val="en-AU"/>
                  </w:rPr>
                  <w:t>M</w:t>
                </w:r>
                <w:r w:rsidR="00A3487A" w:rsidRPr="00DD3569">
                  <w:rPr>
                    <w:rFonts w:ascii="Sommet" w:hAnsi="Sommet"/>
                    <w:sz w:val="36"/>
                    <w:szCs w:val="36"/>
                    <w:lang w:val="en-AU"/>
                  </w:rPr>
                  <w:t xml:space="preserve">anaging </w:t>
                </w:r>
                <w:r>
                  <w:rPr>
                    <w:rFonts w:ascii="Sommet" w:hAnsi="Sommet"/>
                    <w:sz w:val="36"/>
                    <w:szCs w:val="36"/>
                    <w:lang w:val="en-AU"/>
                  </w:rPr>
                  <w:t>R</w:t>
                </w:r>
                <w:r w:rsidR="00A3487A" w:rsidRPr="00DD3569">
                  <w:rPr>
                    <w:rFonts w:ascii="Sommet" w:hAnsi="Sommet"/>
                    <w:sz w:val="36"/>
                    <w:szCs w:val="36"/>
                    <w:lang w:val="en-AU"/>
                  </w:rPr>
                  <w:t xml:space="preserve">esearch </w:t>
                </w:r>
                <w:r>
                  <w:rPr>
                    <w:rFonts w:ascii="Sommet" w:hAnsi="Sommet"/>
                    <w:sz w:val="36"/>
                    <w:szCs w:val="36"/>
                    <w:lang w:val="en-AU"/>
                  </w:rPr>
                  <w:t>I</w:t>
                </w:r>
                <w:r w:rsidR="00A3487A" w:rsidRPr="00DD3569">
                  <w:rPr>
                    <w:rFonts w:ascii="Sommet" w:hAnsi="Sommet"/>
                    <w:sz w:val="36"/>
                    <w:szCs w:val="36"/>
                    <w:lang w:val="en-AU"/>
                  </w:rPr>
                  <w:t>ncome</w:t>
                </w:r>
              </w:p>
            </w:txbxContent>
          </v:textbox>
          <w10:wrap anchory="page"/>
          <w10:anchorlock/>
        </v:shape>
      </w:pict>
    </w:r>
  </w:p>
  <w:p w:rsidR="00E815A5" w:rsidRDefault="00E815A5" w:rsidP="00EA450A">
    <w:pPr>
      <w:pStyle w:val="Header"/>
    </w:pPr>
  </w:p>
  <w:p w:rsidR="00E815A5" w:rsidRDefault="00E815A5" w:rsidP="00EA450A">
    <w:pPr>
      <w:pStyle w:val="Header"/>
    </w:pPr>
  </w:p>
  <w:p w:rsidR="00E815A5" w:rsidRDefault="00E815A5" w:rsidP="00EA450A">
    <w:pPr>
      <w:pStyle w:val="Header"/>
    </w:pPr>
  </w:p>
  <w:p w:rsidR="00E815A5" w:rsidRDefault="00E815A5" w:rsidP="00EA450A">
    <w:pPr>
      <w:pStyle w:val="Header"/>
    </w:pPr>
  </w:p>
  <w:p w:rsidR="00E815A5" w:rsidRDefault="00E815A5" w:rsidP="00EA450A">
    <w:pPr>
      <w:pStyle w:val="Header"/>
    </w:pPr>
  </w:p>
  <w:p w:rsidR="00E815A5" w:rsidRDefault="00E815A5" w:rsidP="00EA450A">
    <w:pPr>
      <w:pStyle w:val="Header"/>
    </w:pPr>
  </w:p>
  <w:p w:rsidR="00E815A5" w:rsidRDefault="00E815A5" w:rsidP="00EA450A">
    <w:pPr>
      <w:pStyle w:val="Header"/>
    </w:pPr>
  </w:p>
  <w:p w:rsidR="00E815A5" w:rsidRDefault="00E815A5" w:rsidP="00EA450A">
    <w:pPr>
      <w:pStyle w:val="Header"/>
    </w:pPr>
  </w:p>
  <w:p w:rsidR="00E815A5" w:rsidRDefault="00E815A5" w:rsidP="00EA450A">
    <w:pPr>
      <w:pStyle w:val="Header"/>
    </w:pPr>
  </w:p>
  <w:p w:rsidR="00E815A5" w:rsidRDefault="00E815A5" w:rsidP="00EA450A">
    <w:pPr>
      <w:pStyle w:val="Header"/>
    </w:pPr>
  </w:p>
  <w:p w:rsidR="00E815A5" w:rsidRDefault="00E815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F6A91"/>
    <w:multiLevelType w:val="hybridMultilevel"/>
    <w:tmpl w:val="4C4EA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E8A5C50"/>
    <w:multiLevelType w:val="hybridMultilevel"/>
    <w:tmpl w:val="76923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50C6C36"/>
    <w:multiLevelType w:val="hybridMultilevel"/>
    <w:tmpl w:val="34D64E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BCA10AC"/>
    <w:multiLevelType w:val="hybridMultilevel"/>
    <w:tmpl w:val="7CE00A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2CE582B"/>
    <w:multiLevelType w:val="hybridMultilevel"/>
    <w:tmpl w:val="5B24DE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45426A4"/>
    <w:multiLevelType w:val="multilevel"/>
    <w:tmpl w:val="2EFE1D4C"/>
    <w:lvl w:ilvl="0">
      <w:start w:val="4"/>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41053065"/>
    <w:multiLevelType w:val="hybridMultilevel"/>
    <w:tmpl w:val="823CE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4B3D2AB6"/>
    <w:multiLevelType w:val="multilevel"/>
    <w:tmpl w:val="A92A44A2"/>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6FD21A8C"/>
    <w:multiLevelType w:val="hybridMultilevel"/>
    <w:tmpl w:val="E744AA5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2A31D04"/>
    <w:multiLevelType w:val="hybridMultilevel"/>
    <w:tmpl w:val="0BC62990"/>
    <w:lvl w:ilvl="0" w:tplc="6EF66FF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7EBB183E"/>
    <w:multiLevelType w:val="hybridMultilevel"/>
    <w:tmpl w:val="68808532"/>
    <w:lvl w:ilvl="0" w:tplc="7CD4570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8"/>
  </w:num>
  <w:num w:numId="6">
    <w:abstractNumId w:val="0"/>
  </w:num>
  <w:num w:numId="7">
    <w:abstractNumId w:val="4"/>
  </w:num>
  <w:num w:numId="8">
    <w:abstractNumId w:val="10"/>
  </w:num>
  <w:num w:numId="9">
    <w:abstractNumId w:val="5"/>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4105"/>
    <o:shapelayout v:ext="edit">
      <o:idmap v:ext="edit" data="4"/>
      <o:rules v:ext="edit">
        <o:r id="V:Rule1" type="connector" idref="#AutoShape 18"/>
        <o:r id="V:Rule2" type="connector" idref="#AutoShape 16"/>
      </o:rules>
    </o:shapelayout>
  </w:hdrShapeDefaults>
  <w:footnotePr>
    <w:footnote w:id="-1"/>
    <w:footnote w:id="0"/>
  </w:footnotePr>
  <w:endnotePr>
    <w:endnote w:id="-1"/>
    <w:endnote w:id="0"/>
  </w:endnotePr>
  <w:compat/>
  <w:rsids>
    <w:rsidRoot w:val="00595E92"/>
    <w:rsid w:val="00023E1F"/>
    <w:rsid w:val="000245CC"/>
    <w:rsid w:val="00030795"/>
    <w:rsid w:val="00034262"/>
    <w:rsid w:val="0004466B"/>
    <w:rsid w:val="00087691"/>
    <w:rsid w:val="001045D1"/>
    <w:rsid w:val="001349EB"/>
    <w:rsid w:val="00146F79"/>
    <w:rsid w:val="001775E3"/>
    <w:rsid w:val="001859C9"/>
    <w:rsid w:val="001964F2"/>
    <w:rsid w:val="001A3CDA"/>
    <w:rsid w:val="001C3222"/>
    <w:rsid w:val="001D29EB"/>
    <w:rsid w:val="0022140E"/>
    <w:rsid w:val="002227C3"/>
    <w:rsid w:val="00232626"/>
    <w:rsid w:val="0026701D"/>
    <w:rsid w:val="00270F46"/>
    <w:rsid w:val="00295F3D"/>
    <w:rsid w:val="002B0953"/>
    <w:rsid w:val="002D1A11"/>
    <w:rsid w:val="002E041A"/>
    <w:rsid w:val="002F507B"/>
    <w:rsid w:val="002F7CEC"/>
    <w:rsid w:val="00300047"/>
    <w:rsid w:val="00301798"/>
    <w:rsid w:val="003127A3"/>
    <w:rsid w:val="00327756"/>
    <w:rsid w:val="00352C8D"/>
    <w:rsid w:val="00360215"/>
    <w:rsid w:val="003726D5"/>
    <w:rsid w:val="003846A2"/>
    <w:rsid w:val="00384B8F"/>
    <w:rsid w:val="003A3EF0"/>
    <w:rsid w:val="003D0E03"/>
    <w:rsid w:val="003E496B"/>
    <w:rsid w:val="004145AE"/>
    <w:rsid w:val="004269B1"/>
    <w:rsid w:val="004350B0"/>
    <w:rsid w:val="0046375B"/>
    <w:rsid w:val="00482376"/>
    <w:rsid w:val="0049544A"/>
    <w:rsid w:val="004F23DB"/>
    <w:rsid w:val="00557FB7"/>
    <w:rsid w:val="005662AC"/>
    <w:rsid w:val="005742B8"/>
    <w:rsid w:val="0058157F"/>
    <w:rsid w:val="0059145E"/>
    <w:rsid w:val="00595E92"/>
    <w:rsid w:val="005B4C46"/>
    <w:rsid w:val="005F7304"/>
    <w:rsid w:val="00633EE4"/>
    <w:rsid w:val="00640C2E"/>
    <w:rsid w:val="0066481C"/>
    <w:rsid w:val="0067314A"/>
    <w:rsid w:val="0067715C"/>
    <w:rsid w:val="006801F8"/>
    <w:rsid w:val="00682A1A"/>
    <w:rsid w:val="00686F41"/>
    <w:rsid w:val="006B07CA"/>
    <w:rsid w:val="006C2393"/>
    <w:rsid w:val="006E04F4"/>
    <w:rsid w:val="006E5E51"/>
    <w:rsid w:val="006E717A"/>
    <w:rsid w:val="00705D49"/>
    <w:rsid w:val="00724578"/>
    <w:rsid w:val="0074755A"/>
    <w:rsid w:val="0075533D"/>
    <w:rsid w:val="00793435"/>
    <w:rsid w:val="007A5F84"/>
    <w:rsid w:val="007B77F2"/>
    <w:rsid w:val="007E4CB7"/>
    <w:rsid w:val="00815099"/>
    <w:rsid w:val="00822B0E"/>
    <w:rsid w:val="00827EE5"/>
    <w:rsid w:val="008409DA"/>
    <w:rsid w:val="00857233"/>
    <w:rsid w:val="00877F8F"/>
    <w:rsid w:val="008928B3"/>
    <w:rsid w:val="008A2565"/>
    <w:rsid w:val="008B28EE"/>
    <w:rsid w:val="008D1AD5"/>
    <w:rsid w:val="008D6510"/>
    <w:rsid w:val="008E7A50"/>
    <w:rsid w:val="008F1BC5"/>
    <w:rsid w:val="008F4738"/>
    <w:rsid w:val="008F7EC1"/>
    <w:rsid w:val="00902072"/>
    <w:rsid w:val="00961218"/>
    <w:rsid w:val="00970B62"/>
    <w:rsid w:val="00971955"/>
    <w:rsid w:val="00982B5B"/>
    <w:rsid w:val="009B2B47"/>
    <w:rsid w:val="009B436B"/>
    <w:rsid w:val="009C42A7"/>
    <w:rsid w:val="009D35CB"/>
    <w:rsid w:val="009F0136"/>
    <w:rsid w:val="00A3487A"/>
    <w:rsid w:val="00A47ADB"/>
    <w:rsid w:val="00A63F7F"/>
    <w:rsid w:val="00AC4B55"/>
    <w:rsid w:val="00AC531A"/>
    <w:rsid w:val="00AF42F0"/>
    <w:rsid w:val="00B30B5A"/>
    <w:rsid w:val="00B33F4B"/>
    <w:rsid w:val="00B54D4B"/>
    <w:rsid w:val="00B743E0"/>
    <w:rsid w:val="00B81DC4"/>
    <w:rsid w:val="00B926F4"/>
    <w:rsid w:val="00BA028D"/>
    <w:rsid w:val="00BE1B8B"/>
    <w:rsid w:val="00BE692F"/>
    <w:rsid w:val="00BE7C33"/>
    <w:rsid w:val="00BF1891"/>
    <w:rsid w:val="00C05957"/>
    <w:rsid w:val="00C6388C"/>
    <w:rsid w:val="00C71B8B"/>
    <w:rsid w:val="00C72250"/>
    <w:rsid w:val="00CA6049"/>
    <w:rsid w:val="00CB78B9"/>
    <w:rsid w:val="00CC1EBD"/>
    <w:rsid w:val="00CC7612"/>
    <w:rsid w:val="00CE339D"/>
    <w:rsid w:val="00CE70B5"/>
    <w:rsid w:val="00CF5979"/>
    <w:rsid w:val="00D22637"/>
    <w:rsid w:val="00D407E4"/>
    <w:rsid w:val="00D50375"/>
    <w:rsid w:val="00D569D4"/>
    <w:rsid w:val="00D65301"/>
    <w:rsid w:val="00D6647C"/>
    <w:rsid w:val="00D670D5"/>
    <w:rsid w:val="00D72790"/>
    <w:rsid w:val="00D81059"/>
    <w:rsid w:val="00D8780D"/>
    <w:rsid w:val="00DA2B30"/>
    <w:rsid w:val="00DA3E13"/>
    <w:rsid w:val="00DB0265"/>
    <w:rsid w:val="00DB1861"/>
    <w:rsid w:val="00DD3569"/>
    <w:rsid w:val="00DF5007"/>
    <w:rsid w:val="00DF5345"/>
    <w:rsid w:val="00E24012"/>
    <w:rsid w:val="00E26CE8"/>
    <w:rsid w:val="00E30F87"/>
    <w:rsid w:val="00E325BD"/>
    <w:rsid w:val="00E33055"/>
    <w:rsid w:val="00E336AB"/>
    <w:rsid w:val="00E357F2"/>
    <w:rsid w:val="00E624A0"/>
    <w:rsid w:val="00E63E06"/>
    <w:rsid w:val="00E6426A"/>
    <w:rsid w:val="00E72FDB"/>
    <w:rsid w:val="00E815A5"/>
    <w:rsid w:val="00E844B1"/>
    <w:rsid w:val="00EA450A"/>
    <w:rsid w:val="00EA7E7F"/>
    <w:rsid w:val="00ED0F47"/>
    <w:rsid w:val="00EE4BEC"/>
    <w:rsid w:val="00EE5301"/>
    <w:rsid w:val="00EE6288"/>
    <w:rsid w:val="00EE7455"/>
    <w:rsid w:val="00F057BF"/>
    <w:rsid w:val="00F1114B"/>
    <w:rsid w:val="00F24B36"/>
    <w:rsid w:val="00F63408"/>
    <w:rsid w:val="00F80F0D"/>
    <w:rsid w:val="00FA1034"/>
    <w:rsid w:val="00FA5F0C"/>
    <w:rsid w:val="00FE3F9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3D"/>
    <w:pPr>
      <w:spacing w:after="0" w:line="240" w:lineRule="auto"/>
    </w:pPr>
    <w:rPr>
      <w:rFonts w:ascii="Optima LT Std" w:eastAsia="Times New Roman" w:hAnsi="Optima LT Std" w:cs="Times New Roman"/>
      <w:sz w:val="24"/>
      <w:szCs w:val="24"/>
      <w:lang w:val="en-US"/>
    </w:rPr>
  </w:style>
  <w:style w:type="paragraph" w:styleId="Heading1">
    <w:name w:val="heading 1"/>
    <w:basedOn w:val="Normal"/>
    <w:next w:val="Normal"/>
    <w:link w:val="Heading1Char"/>
    <w:uiPriority w:val="9"/>
    <w:qFormat/>
    <w:rsid w:val="00E63E06"/>
    <w:pPr>
      <w:keepNext/>
      <w:keepLines/>
      <w:spacing w:before="480" w:line="276" w:lineRule="auto"/>
      <w:outlineLvl w:val="0"/>
    </w:pPr>
    <w:rPr>
      <w:rFonts w:asciiTheme="majorHAnsi" w:eastAsiaTheme="majorEastAsia" w:hAnsiTheme="majorHAnsi" w:cstheme="majorBidi"/>
      <w:b/>
      <w:bCs/>
      <w:sz w:val="28"/>
      <w:szCs w:val="28"/>
      <w:lang w:val="en-AU"/>
    </w:rPr>
  </w:style>
  <w:style w:type="paragraph" w:styleId="Heading2">
    <w:name w:val="heading 2"/>
    <w:basedOn w:val="Normal"/>
    <w:next w:val="Normal"/>
    <w:link w:val="Heading2Char"/>
    <w:uiPriority w:val="9"/>
    <w:semiHidden/>
    <w:unhideWhenUsed/>
    <w:qFormat/>
    <w:rsid w:val="00E63E06"/>
    <w:pPr>
      <w:keepNext/>
      <w:keepLines/>
      <w:spacing w:before="200" w:line="276" w:lineRule="auto"/>
      <w:outlineLvl w:val="1"/>
    </w:pPr>
    <w:rPr>
      <w:rFonts w:asciiTheme="majorHAnsi" w:eastAsiaTheme="majorEastAsia" w:hAnsiTheme="majorHAnsi" w:cstheme="majorBidi"/>
      <w:b/>
      <w:b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contextualSpacing/>
    </w:pPr>
    <w:rPr>
      <w:rFonts w:asciiTheme="majorHAnsi" w:eastAsiaTheme="majorEastAsia" w:hAnsiTheme="majorHAnsi" w:cstheme="majorBidi"/>
      <w:spacing w:val="5"/>
      <w:kern w:val="28"/>
      <w:sz w:val="52"/>
      <w:szCs w:val="52"/>
      <w:lang w:val="en-AU"/>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spacing w:after="60" w:line="276" w:lineRule="auto"/>
    </w:pPr>
    <w:rPr>
      <w:rFonts w:asciiTheme="majorHAnsi" w:eastAsiaTheme="majorEastAsia" w:hAnsiTheme="majorHAnsi" w:cstheme="majorBidi"/>
      <w:i/>
      <w:iCs/>
      <w:spacing w:val="15"/>
      <w:lang w:val="en-AU"/>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line="276" w:lineRule="auto"/>
      <w:ind w:left="936" w:right="936"/>
    </w:pPr>
    <w:rPr>
      <w:rFonts w:ascii="Arial" w:eastAsiaTheme="minorHAnsi" w:hAnsi="Arial" w:cs="Arial"/>
      <w:b/>
      <w:bCs/>
      <w:i/>
      <w:iCs/>
      <w:color w:val="595959" w:themeColor="text1" w:themeTint="A6"/>
      <w:sz w:val="22"/>
      <w:szCs w:val="22"/>
      <w:lang w:val="en-AU"/>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spacing w:after="60" w:line="276" w:lineRule="auto"/>
      <w:ind w:left="720"/>
      <w:contextualSpacing/>
    </w:pPr>
    <w:rPr>
      <w:rFonts w:ascii="Arial" w:eastAsiaTheme="minorHAnsi" w:hAnsi="Arial" w:cs="Arial"/>
      <w:sz w:val="22"/>
      <w:szCs w:val="22"/>
      <w:lang w:val="en-AU"/>
    </w:r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pPr>
    <w:rPr>
      <w:rFonts w:ascii="Arial" w:eastAsiaTheme="minorHAnsi" w:hAnsi="Arial" w:cs="Arial"/>
      <w:sz w:val="22"/>
      <w:szCs w:val="22"/>
      <w:lang w:val="en-AU"/>
    </w:r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pPr>
    <w:rPr>
      <w:rFonts w:ascii="Arial" w:eastAsiaTheme="minorHAnsi" w:hAnsi="Arial" w:cs="Arial"/>
      <w:sz w:val="22"/>
      <w:szCs w:val="22"/>
      <w:lang w:val="en-AU"/>
    </w:r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paragraph" w:styleId="FootnoteText">
    <w:name w:val="footnote text"/>
    <w:basedOn w:val="Normal"/>
    <w:link w:val="FootnoteTextChar"/>
    <w:uiPriority w:val="99"/>
    <w:semiHidden/>
    <w:unhideWhenUsed/>
    <w:rsid w:val="00023E1F"/>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023E1F"/>
    <w:rPr>
      <w:rFonts w:ascii="Calibri" w:eastAsia="Calibri" w:hAnsi="Calibri" w:cs="Times New Roman"/>
      <w:sz w:val="20"/>
      <w:szCs w:val="20"/>
    </w:rPr>
  </w:style>
  <w:style w:type="character" w:styleId="FootnoteReference">
    <w:name w:val="footnote reference"/>
    <w:uiPriority w:val="99"/>
    <w:semiHidden/>
    <w:unhideWhenUsed/>
    <w:rsid w:val="00023E1F"/>
    <w:rPr>
      <w:vertAlign w:val="superscript"/>
    </w:rPr>
  </w:style>
  <w:style w:type="character" w:styleId="Hyperlink">
    <w:name w:val="Hyperlink"/>
    <w:uiPriority w:val="99"/>
    <w:unhideWhenUsed/>
    <w:rsid w:val="00023E1F"/>
    <w:rPr>
      <w:color w:val="0000FF"/>
      <w:u w:val="single"/>
    </w:rPr>
  </w:style>
  <w:style w:type="table" w:styleId="LightList">
    <w:name w:val="Light List"/>
    <w:basedOn w:val="TableNormal"/>
    <w:uiPriority w:val="61"/>
    <w:rsid w:val="00C6388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B33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3D"/>
    <w:pPr>
      <w:spacing w:after="0" w:line="240" w:lineRule="auto"/>
    </w:pPr>
    <w:rPr>
      <w:rFonts w:ascii="Optima LT Std" w:eastAsia="Times New Roman" w:hAnsi="Optima LT Std" w:cs="Times New Roman"/>
      <w:sz w:val="24"/>
      <w:szCs w:val="24"/>
      <w:lang w:val="en-US"/>
    </w:rPr>
  </w:style>
  <w:style w:type="paragraph" w:styleId="Heading1">
    <w:name w:val="heading 1"/>
    <w:basedOn w:val="Normal"/>
    <w:next w:val="Normal"/>
    <w:link w:val="Heading1Char"/>
    <w:uiPriority w:val="9"/>
    <w:qFormat/>
    <w:rsid w:val="00E63E06"/>
    <w:pPr>
      <w:keepNext/>
      <w:keepLines/>
      <w:spacing w:before="480" w:line="276" w:lineRule="auto"/>
      <w:outlineLvl w:val="0"/>
    </w:pPr>
    <w:rPr>
      <w:rFonts w:asciiTheme="majorHAnsi" w:eastAsiaTheme="majorEastAsia" w:hAnsiTheme="majorHAnsi" w:cstheme="majorBidi"/>
      <w:b/>
      <w:bCs/>
      <w:sz w:val="28"/>
      <w:szCs w:val="28"/>
      <w:lang w:val="en-AU"/>
    </w:rPr>
  </w:style>
  <w:style w:type="paragraph" w:styleId="Heading2">
    <w:name w:val="heading 2"/>
    <w:basedOn w:val="Normal"/>
    <w:next w:val="Normal"/>
    <w:link w:val="Heading2Char"/>
    <w:uiPriority w:val="9"/>
    <w:semiHidden/>
    <w:unhideWhenUsed/>
    <w:qFormat/>
    <w:rsid w:val="00E63E06"/>
    <w:pPr>
      <w:keepNext/>
      <w:keepLines/>
      <w:spacing w:before="200" w:line="276" w:lineRule="auto"/>
      <w:outlineLvl w:val="1"/>
    </w:pPr>
    <w:rPr>
      <w:rFonts w:asciiTheme="majorHAnsi" w:eastAsiaTheme="majorEastAsia" w:hAnsiTheme="majorHAnsi" w:cstheme="majorBidi"/>
      <w:b/>
      <w:b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contextualSpacing/>
    </w:pPr>
    <w:rPr>
      <w:rFonts w:asciiTheme="majorHAnsi" w:eastAsiaTheme="majorEastAsia" w:hAnsiTheme="majorHAnsi" w:cstheme="majorBidi"/>
      <w:spacing w:val="5"/>
      <w:kern w:val="28"/>
      <w:sz w:val="52"/>
      <w:szCs w:val="52"/>
      <w:lang w:val="en-AU"/>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spacing w:after="60" w:line="276" w:lineRule="auto"/>
    </w:pPr>
    <w:rPr>
      <w:rFonts w:asciiTheme="majorHAnsi" w:eastAsiaTheme="majorEastAsia" w:hAnsiTheme="majorHAnsi" w:cstheme="majorBidi"/>
      <w:i/>
      <w:iCs/>
      <w:spacing w:val="15"/>
      <w:lang w:val="en-AU"/>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line="276" w:lineRule="auto"/>
      <w:ind w:left="936" w:right="936"/>
    </w:pPr>
    <w:rPr>
      <w:rFonts w:ascii="Arial" w:eastAsiaTheme="minorHAnsi" w:hAnsi="Arial" w:cs="Arial"/>
      <w:b/>
      <w:bCs/>
      <w:i/>
      <w:iCs/>
      <w:color w:val="595959" w:themeColor="text1" w:themeTint="A6"/>
      <w:sz w:val="22"/>
      <w:szCs w:val="22"/>
      <w:lang w:val="en-AU"/>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spacing w:after="60" w:line="276" w:lineRule="auto"/>
      <w:ind w:left="720"/>
      <w:contextualSpacing/>
    </w:pPr>
    <w:rPr>
      <w:rFonts w:ascii="Arial" w:eastAsiaTheme="minorHAnsi" w:hAnsi="Arial" w:cs="Arial"/>
      <w:sz w:val="22"/>
      <w:szCs w:val="22"/>
      <w:lang w:val="en-AU"/>
    </w:r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pPr>
    <w:rPr>
      <w:rFonts w:ascii="Arial" w:eastAsiaTheme="minorHAnsi" w:hAnsi="Arial" w:cs="Arial"/>
      <w:sz w:val="22"/>
      <w:szCs w:val="22"/>
      <w:lang w:val="en-AU"/>
    </w:r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pPr>
    <w:rPr>
      <w:rFonts w:ascii="Arial" w:eastAsiaTheme="minorHAnsi" w:hAnsi="Arial" w:cs="Arial"/>
      <w:sz w:val="22"/>
      <w:szCs w:val="22"/>
      <w:lang w:val="en-AU"/>
    </w:r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paragraph" w:styleId="FootnoteText">
    <w:name w:val="footnote text"/>
    <w:basedOn w:val="Normal"/>
    <w:link w:val="FootnoteTextChar"/>
    <w:uiPriority w:val="99"/>
    <w:semiHidden/>
    <w:unhideWhenUsed/>
    <w:rsid w:val="00023E1F"/>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023E1F"/>
    <w:rPr>
      <w:rFonts w:ascii="Calibri" w:eastAsia="Calibri" w:hAnsi="Calibri" w:cs="Times New Roman"/>
      <w:sz w:val="20"/>
      <w:szCs w:val="20"/>
    </w:rPr>
  </w:style>
  <w:style w:type="character" w:styleId="FootnoteReference">
    <w:name w:val="footnote reference"/>
    <w:uiPriority w:val="99"/>
    <w:semiHidden/>
    <w:unhideWhenUsed/>
    <w:rsid w:val="00023E1F"/>
    <w:rPr>
      <w:vertAlign w:val="superscript"/>
    </w:rPr>
  </w:style>
  <w:style w:type="character" w:styleId="Hyperlink">
    <w:name w:val="Hyperlink"/>
    <w:uiPriority w:val="99"/>
    <w:unhideWhenUsed/>
    <w:rsid w:val="00023E1F"/>
    <w:rPr>
      <w:color w:val="0000FF"/>
      <w:u w:val="single"/>
    </w:rPr>
  </w:style>
  <w:style w:type="table" w:styleId="LightList">
    <w:name w:val="Light List"/>
    <w:basedOn w:val="TableNormal"/>
    <w:uiPriority w:val="61"/>
    <w:rsid w:val="00C6388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B33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research.unsw.edu.au/sites/all/files/related_files/regular_page_content/definition_of_research_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08E00-03E8-4DC9-8FF4-9BF2FB1E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1588</Words>
  <Characters>9057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10624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Samuels</dc:creator>
  <cp:lastModifiedBy>Alexandra Bell</cp:lastModifiedBy>
  <cp:revision>2</cp:revision>
  <cp:lastPrinted>2014-05-28T01:14:00Z</cp:lastPrinted>
  <dcterms:created xsi:type="dcterms:W3CDTF">2014-06-26T07:26:00Z</dcterms:created>
  <dcterms:modified xsi:type="dcterms:W3CDTF">2014-06-26T07:26:00Z</dcterms:modified>
</cp:coreProperties>
</file>