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E096" w14:textId="77777777" w:rsidR="005214C2" w:rsidRPr="005214C2" w:rsidRDefault="005214C2" w:rsidP="005214C2">
      <w:pPr>
        <w:spacing w:before="20" w:after="20"/>
        <w:rPr>
          <w:rFonts w:ascii="Clancy" w:hAnsi="Clancy"/>
          <w:b/>
          <w:sz w:val="28"/>
          <w:szCs w:val="28"/>
          <w:u w:val="single"/>
        </w:rPr>
      </w:pPr>
      <w:r w:rsidRPr="005214C2">
        <w:rPr>
          <w:rFonts w:ascii="Clancy" w:hAnsi="Clancy"/>
          <w:b/>
          <w:sz w:val="28"/>
          <w:szCs w:val="28"/>
          <w:u w:val="single"/>
        </w:rPr>
        <w:t>Appendix F</w:t>
      </w:r>
    </w:p>
    <w:p w14:paraId="1706276E" w14:textId="77777777" w:rsidR="005214C2" w:rsidRPr="005214C2" w:rsidRDefault="005214C2" w:rsidP="005214C2">
      <w:pPr>
        <w:spacing w:before="20" w:after="20"/>
        <w:rPr>
          <w:rFonts w:ascii="Clancy" w:hAnsi="Clancy"/>
          <w:b/>
          <w:sz w:val="28"/>
          <w:szCs w:val="28"/>
        </w:rPr>
      </w:pPr>
      <w:r w:rsidRPr="005214C2">
        <w:rPr>
          <w:rFonts w:ascii="Clancy" w:hAnsi="Clancy"/>
          <w:b/>
          <w:sz w:val="28"/>
          <w:szCs w:val="28"/>
        </w:rPr>
        <w:t>UNSW Participation in an External Centre</w:t>
      </w:r>
    </w:p>
    <w:p w14:paraId="62237735" w14:textId="77777777" w:rsidR="005214C2" w:rsidRPr="005214C2" w:rsidRDefault="005214C2" w:rsidP="005214C2">
      <w:pPr>
        <w:spacing w:before="20" w:after="20"/>
        <w:rPr>
          <w:rFonts w:ascii="Roboto" w:hAnsi="Roboto" w:cstheme="minorHAnsi"/>
          <w:b/>
        </w:rPr>
      </w:pPr>
    </w:p>
    <w:p w14:paraId="05A11AB4" w14:textId="14EEABE3" w:rsidR="005214C2" w:rsidRPr="005214C2" w:rsidRDefault="005214C2" w:rsidP="005214C2">
      <w:pPr>
        <w:tabs>
          <w:tab w:val="left" w:pos="2270"/>
        </w:tabs>
        <w:ind w:right="85"/>
        <w:jc w:val="both"/>
        <w:rPr>
          <w:rFonts w:ascii="Roboto" w:hAnsi="Roboto" w:cstheme="minorHAnsi"/>
          <w:b/>
        </w:rPr>
      </w:pPr>
      <w:r w:rsidRPr="005214C2">
        <w:rPr>
          <w:rFonts w:ascii="Roboto" w:hAnsi="Roboto" w:cstheme="minorHAnsi"/>
          <w:b/>
        </w:rPr>
        <w:t xml:space="preserve">See Section 1.5 and Section 2 of the UNSW </w:t>
      </w:r>
      <w:r w:rsidRPr="005214C2">
        <w:rPr>
          <w:rFonts w:ascii="Roboto" w:hAnsi="Roboto" w:cstheme="minorHAnsi"/>
          <w:b/>
          <w:iCs/>
        </w:rPr>
        <w:t>Centres and Institutes Procedure</w:t>
      </w:r>
      <w:r w:rsidRPr="005214C2">
        <w:rPr>
          <w:rFonts w:ascii="Roboto" w:hAnsi="Roboto" w:cstheme="minorHAnsi"/>
          <w:b/>
        </w:rPr>
        <w:t>.</w:t>
      </w:r>
    </w:p>
    <w:p w14:paraId="1C4DCDA7" w14:textId="77777777" w:rsidR="005214C2" w:rsidRPr="005214C2" w:rsidRDefault="005214C2" w:rsidP="005214C2">
      <w:pPr>
        <w:jc w:val="both"/>
        <w:rPr>
          <w:rFonts w:ascii="Roboto" w:hAnsi="Roboto" w:cstheme="minorHAnsi"/>
        </w:rPr>
      </w:pPr>
    </w:p>
    <w:p w14:paraId="6FD741D4" w14:textId="1587C88D" w:rsidR="005214C2" w:rsidRPr="005214C2" w:rsidRDefault="005214C2" w:rsidP="005214C2">
      <w:pPr>
        <w:jc w:val="both"/>
        <w:rPr>
          <w:rFonts w:ascii="Roboto" w:hAnsi="Roboto" w:cstheme="minorHAnsi"/>
        </w:rPr>
      </w:pPr>
      <w:r w:rsidRPr="005214C2">
        <w:rPr>
          <w:rFonts w:ascii="Roboto" w:hAnsi="Roboto" w:cstheme="minorHAnsi"/>
        </w:rPr>
        <w:t xml:space="preserve">External Centres include those funded by well-established Commonwealth or State Government schemes, such as ARC Centres of Excellence, ARC Industrial Transformation Research Hubs and Training Centres, ARC Special Research Initiatives, NHMRC Centres of Research Excellence and Cooperative Research Centres, or those formed on the basis of specific, targeted initiatives by the Commonwealth or State Governments.  A further category of External Centres includes independently funded </w:t>
      </w:r>
      <w:r w:rsidR="00481478">
        <w:rPr>
          <w:rFonts w:ascii="Roboto" w:hAnsi="Roboto" w:cstheme="minorHAnsi"/>
        </w:rPr>
        <w:t>c</w:t>
      </w:r>
      <w:r w:rsidRPr="005214C2">
        <w:rPr>
          <w:rFonts w:ascii="Roboto" w:hAnsi="Roboto" w:cstheme="minorHAnsi"/>
        </w:rPr>
        <w:t>entres established without a competitive bidding or tendering process, such as independent medical research institutes.</w:t>
      </w:r>
    </w:p>
    <w:p w14:paraId="561218A5" w14:textId="5033FC35" w:rsidR="005214C2" w:rsidRPr="005214C2" w:rsidRDefault="005214C2" w:rsidP="005214C2">
      <w:pPr>
        <w:jc w:val="both"/>
        <w:rPr>
          <w:rFonts w:ascii="Roboto" w:hAnsi="Roboto" w:cstheme="minorHAnsi"/>
        </w:rPr>
      </w:pPr>
      <w:r w:rsidRPr="005214C2">
        <w:rPr>
          <w:rFonts w:ascii="Roboto" w:hAnsi="Roboto" w:cstheme="minorHAnsi"/>
        </w:rPr>
        <w:t>UNSW's participation in External Centres requires careful evaluation of the associated benefits and risks. The Research Strategy Office (RSO) will coordinate the process of establishing and monitoring External Centres, with regards to the following:</w:t>
      </w:r>
    </w:p>
    <w:p w14:paraId="636AAB02" w14:textId="643B4B4D" w:rsidR="005214C2" w:rsidRPr="005214C2" w:rsidRDefault="005214C2" w:rsidP="005214C2">
      <w:pPr>
        <w:pStyle w:val="ListParagraph"/>
        <w:widowControl w:val="0"/>
        <w:numPr>
          <w:ilvl w:val="0"/>
          <w:numId w:val="5"/>
        </w:numPr>
        <w:autoSpaceDE w:val="0"/>
        <w:autoSpaceDN w:val="0"/>
        <w:spacing w:after="0" w:line="240" w:lineRule="auto"/>
        <w:contextualSpacing w:val="0"/>
        <w:jc w:val="both"/>
        <w:rPr>
          <w:rFonts w:ascii="Roboto" w:hAnsi="Roboto" w:cstheme="minorHAnsi"/>
        </w:rPr>
      </w:pPr>
      <w:r w:rsidRPr="005214C2">
        <w:rPr>
          <w:rFonts w:ascii="Roboto" w:hAnsi="Roboto" w:cstheme="minorHAnsi"/>
        </w:rPr>
        <w:t>The RSO generally receives intelligence regarding funding calls for major External Centres well in advance of them being formally announced. An email will be forwarded to Deans and Associate Deans (Research) in all faculties indicating the timing of the call and the relevant UNSW protocol for the opportunity (including key internal and external deadlines and notifications to the RSO). The RSO will call for an Expression of Interest (EOI) which generally requests:</w:t>
      </w:r>
    </w:p>
    <w:p w14:paraId="0E2F5454" w14:textId="77777777" w:rsidR="005214C2" w:rsidRPr="005214C2" w:rsidRDefault="005214C2" w:rsidP="005214C2">
      <w:pPr>
        <w:pStyle w:val="ListParagraph"/>
        <w:numPr>
          <w:ilvl w:val="0"/>
          <w:numId w:val="7"/>
        </w:numPr>
        <w:spacing w:after="0" w:line="240" w:lineRule="auto"/>
        <w:contextualSpacing w:val="0"/>
        <w:jc w:val="both"/>
        <w:rPr>
          <w:rFonts w:ascii="Roboto" w:eastAsia="Times New Roman" w:hAnsi="Roboto" w:cstheme="minorHAnsi"/>
          <w:bCs/>
        </w:rPr>
      </w:pPr>
      <w:r w:rsidRPr="005214C2">
        <w:rPr>
          <w:rFonts w:ascii="Roboto" w:eastAsia="Times New Roman" w:hAnsi="Roboto" w:cstheme="minorHAnsi"/>
          <w:bCs/>
        </w:rPr>
        <w:t>Centre title</w:t>
      </w:r>
    </w:p>
    <w:p w14:paraId="48C2E3DF" w14:textId="652045FB" w:rsidR="005214C2" w:rsidRPr="005214C2" w:rsidRDefault="005214C2" w:rsidP="005214C2">
      <w:pPr>
        <w:numPr>
          <w:ilvl w:val="0"/>
          <w:numId w:val="7"/>
        </w:numPr>
        <w:spacing w:after="0" w:line="240" w:lineRule="auto"/>
        <w:jc w:val="both"/>
        <w:rPr>
          <w:rFonts w:ascii="Roboto" w:eastAsia="Times New Roman" w:hAnsi="Roboto" w:cstheme="minorHAnsi"/>
          <w:bCs/>
        </w:rPr>
      </w:pPr>
      <w:r w:rsidRPr="005214C2">
        <w:rPr>
          <w:rFonts w:ascii="Roboto" w:eastAsia="Times New Roman" w:hAnsi="Roboto" w:cstheme="minorHAnsi"/>
          <w:bCs/>
        </w:rPr>
        <w:t xml:space="preserve">Administering </w:t>
      </w:r>
      <w:r w:rsidR="00481478">
        <w:rPr>
          <w:rFonts w:ascii="Roboto" w:eastAsia="Times New Roman" w:hAnsi="Roboto" w:cstheme="minorHAnsi"/>
          <w:bCs/>
        </w:rPr>
        <w:t>i</w:t>
      </w:r>
      <w:r w:rsidRPr="005214C2">
        <w:rPr>
          <w:rFonts w:ascii="Roboto" w:eastAsia="Times New Roman" w:hAnsi="Roboto" w:cstheme="minorHAnsi"/>
          <w:bCs/>
        </w:rPr>
        <w:t>nstitution</w:t>
      </w:r>
    </w:p>
    <w:p w14:paraId="77ACB52E" w14:textId="202BF03A" w:rsidR="005214C2" w:rsidRPr="005214C2" w:rsidRDefault="005214C2" w:rsidP="005214C2">
      <w:pPr>
        <w:numPr>
          <w:ilvl w:val="0"/>
          <w:numId w:val="7"/>
        </w:numPr>
        <w:spacing w:after="0" w:line="240" w:lineRule="auto"/>
        <w:jc w:val="both"/>
        <w:rPr>
          <w:rFonts w:ascii="Roboto" w:eastAsia="Times New Roman" w:hAnsi="Roboto" w:cstheme="minorHAnsi"/>
          <w:bCs/>
        </w:rPr>
      </w:pPr>
      <w:r w:rsidRPr="005214C2">
        <w:rPr>
          <w:rFonts w:ascii="Roboto" w:eastAsia="Times New Roman" w:hAnsi="Roboto" w:cstheme="minorHAnsi"/>
          <w:bCs/>
        </w:rPr>
        <w:t xml:space="preserve">Centre </w:t>
      </w:r>
      <w:r w:rsidR="00481478">
        <w:rPr>
          <w:rFonts w:ascii="Roboto" w:eastAsia="Times New Roman" w:hAnsi="Roboto" w:cstheme="minorHAnsi"/>
          <w:bCs/>
        </w:rPr>
        <w:t>d</w:t>
      </w:r>
      <w:r w:rsidRPr="005214C2">
        <w:rPr>
          <w:rFonts w:ascii="Roboto" w:eastAsia="Times New Roman" w:hAnsi="Roboto" w:cstheme="minorHAnsi"/>
          <w:bCs/>
        </w:rPr>
        <w:t>irector</w:t>
      </w:r>
    </w:p>
    <w:p w14:paraId="37AF9761" w14:textId="77777777" w:rsidR="005214C2" w:rsidRPr="005214C2" w:rsidRDefault="005214C2" w:rsidP="005214C2">
      <w:pPr>
        <w:numPr>
          <w:ilvl w:val="0"/>
          <w:numId w:val="7"/>
        </w:numPr>
        <w:spacing w:after="0" w:line="240" w:lineRule="auto"/>
        <w:jc w:val="both"/>
        <w:rPr>
          <w:rFonts w:ascii="Roboto" w:eastAsia="Times New Roman" w:hAnsi="Roboto" w:cstheme="minorHAnsi"/>
          <w:bCs/>
        </w:rPr>
      </w:pPr>
      <w:r w:rsidRPr="005214C2">
        <w:rPr>
          <w:rFonts w:ascii="Roboto" w:eastAsia="Times New Roman" w:hAnsi="Roboto" w:cstheme="minorHAnsi"/>
          <w:bCs/>
        </w:rPr>
        <w:t>Chief Investigators (CIs) and their institutions</w:t>
      </w:r>
    </w:p>
    <w:p w14:paraId="664F2CD7" w14:textId="1BDF46D6" w:rsidR="005214C2" w:rsidRPr="005214C2" w:rsidRDefault="005214C2" w:rsidP="005214C2">
      <w:pPr>
        <w:numPr>
          <w:ilvl w:val="0"/>
          <w:numId w:val="7"/>
        </w:numPr>
        <w:spacing w:after="0" w:line="240" w:lineRule="auto"/>
        <w:jc w:val="both"/>
        <w:rPr>
          <w:rFonts w:ascii="Roboto" w:eastAsia="Times New Roman" w:hAnsi="Roboto" w:cstheme="minorHAnsi"/>
        </w:rPr>
      </w:pPr>
      <w:r w:rsidRPr="005214C2">
        <w:rPr>
          <w:rFonts w:ascii="Roboto" w:eastAsia="Times New Roman" w:hAnsi="Roboto" w:cstheme="minorHAnsi"/>
          <w:bCs/>
        </w:rPr>
        <w:t xml:space="preserve">High level aims/objectives/missions of the </w:t>
      </w:r>
      <w:r w:rsidR="00481478">
        <w:rPr>
          <w:rFonts w:ascii="Roboto" w:eastAsia="Times New Roman" w:hAnsi="Roboto" w:cstheme="minorHAnsi"/>
          <w:bCs/>
        </w:rPr>
        <w:t>c</w:t>
      </w:r>
      <w:r w:rsidRPr="005214C2">
        <w:rPr>
          <w:rFonts w:ascii="Roboto" w:eastAsia="Times New Roman" w:hAnsi="Roboto" w:cstheme="minorHAnsi"/>
          <w:bCs/>
        </w:rPr>
        <w:t xml:space="preserve">entre (2-3 paragraphs maximum). These should identify the reputational benefit of the </w:t>
      </w:r>
      <w:r w:rsidR="00481478">
        <w:rPr>
          <w:rFonts w:ascii="Roboto" w:eastAsia="Times New Roman" w:hAnsi="Roboto" w:cstheme="minorHAnsi"/>
          <w:bCs/>
        </w:rPr>
        <w:t>c</w:t>
      </w:r>
      <w:r w:rsidRPr="005214C2">
        <w:rPr>
          <w:rFonts w:ascii="Roboto" w:eastAsia="Times New Roman" w:hAnsi="Roboto" w:cstheme="minorHAnsi"/>
          <w:bCs/>
        </w:rPr>
        <w:t>entre for UNSW, and its alignment with UNSW strategy and research strengths.</w:t>
      </w:r>
    </w:p>
    <w:p w14:paraId="647B91C3" w14:textId="77777777" w:rsidR="005214C2" w:rsidRPr="005214C2" w:rsidRDefault="005214C2" w:rsidP="005214C2">
      <w:pPr>
        <w:spacing w:after="0" w:line="240" w:lineRule="auto"/>
        <w:ind w:left="720"/>
        <w:jc w:val="both"/>
        <w:rPr>
          <w:rFonts w:ascii="Roboto" w:eastAsia="Times New Roman" w:hAnsi="Roboto" w:cstheme="minorHAnsi"/>
        </w:rPr>
      </w:pPr>
    </w:p>
    <w:p w14:paraId="067834B0" w14:textId="77D79226" w:rsidR="005214C2" w:rsidRDefault="005214C2" w:rsidP="005214C2">
      <w:pPr>
        <w:pStyle w:val="ListParagraph"/>
        <w:widowControl w:val="0"/>
        <w:numPr>
          <w:ilvl w:val="0"/>
          <w:numId w:val="6"/>
        </w:numPr>
        <w:autoSpaceDE w:val="0"/>
        <w:autoSpaceDN w:val="0"/>
        <w:spacing w:after="0" w:line="240" w:lineRule="auto"/>
        <w:contextualSpacing w:val="0"/>
        <w:jc w:val="both"/>
        <w:rPr>
          <w:rFonts w:ascii="Roboto" w:hAnsi="Roboto" w:cstheme="minorHAnsi"/>
        </w:rPr>
      </w:pPr>
      <w:r w:rsidRPr="005214C2">
        <w:rPr>
          <w:rFonts w:ascii="Roboto" w:hAnsi="Roboto" w:cstheme="minorHAnsi"/>
        </w:rPr>
        <w:t xml:space="preserve">Faculties or </w:t>
      </w:r>
      <w:r w:rsidR="00D66824">
        <w:rPr>
          <w:rFonts w:ascii="Roboto" w:hAnsi="Roboto" w:cstheme="minorHAnsi"/>
        </w:rPr>
        <w:t>s</w:t>
      </w:r>
      <w:r w:rsidRPr="005214C2">
        <w:rPr>
          <w:rFonts w:ascii="Roboto" w:hAnsi="Roboto" w:cstheme="minorHAnsi"/>
        </w:rPr>
        <w:t>chools could also independently consider their participation in a new (or new participation in an existing) external Centre/Institute. In these cases, they need to send the same information as requested above in an EOI to the RSO.</w:t>
      </w:r>
    </w:p>
    <w:p w14:paraId="06BA218D" w14:textId="77777777" w:rsidR="005214C2" w:rsidRPr="005214C2" w:rsidRDefault="005214C2" w:rsidP="005214C2">
      <w:pPr>
        <w:pStyle w:val="ListParagraph"/>
        <w:widowControl w:val="0"/>
        <w:autoSpaceDE w:val="0"/>
        <w:autoSpaceDN w:val="0"/>
        <w:spacing w:after="0" w:line="240" w:lineRule="auto"/>
        <w:ind w:left="360"/>
        <w:contextualSpacing w:val="0"/>
        <w:jc w:val="both"/>
        <w:rPr>
          <w:rFonts w:ascii="Roboto" w:hAnsi="Roboto" w:cstheme="minorHAnsi"/>
        </w:rPr>
      </w:pPr>
    </w:p>
    <w:p w14:paraId="4C89EBB9" w14:textId="20BC8893" w:rsidR="005214C2" w:rsidRDefault="005214C2" w:rsidP="005214C2">
      <w:pPr>
        <w:pStyle w:val="ListParagraph"/>
        <w:widowControl w:val="0"/>
        <w:numPr>
          <w:ilvl w:val="0"/>
          <w:numId w:val="6"/>
        </w:numPr>
        <w:autoSpaceDE w:val="0"/>
        <w:autoSpaceDN w:val="0"/>
        <w:spacing w:after="0" w:line="240" w:lineRule="auto"/>
        <w:contextualSpacing w:val="0"/>
        <w:jc w:val="both"/>
        <w:rPr>
          <w:rFonts w:ascii="Roboto" w:hAnsi="Roboto" w:cstheme="minorHAnsi"/>
        </w:rPr>
      </w:pPr>
      <w:r w:rsidRPr="005214C2">
        <w:rPr>
          <w:rFonts w:ascii="Roboto" w:hAnsi="Roboto" w:cstheme="minorHAnsi"/>
        </w:rPr>
        <w:t xml:space="preserve">Proposals are assessed by the Executive in the Division of Research and discussed with the </w:t>
      </w:r>
      <w:r w:rsidR="00D66824">
        <w:rPr>
          <w:rFonts w:ascii="Roboto" w:hAnsi="Roboto" w:cstheme="minorHAnsi"/>
        </w:rPr>
        <w:t>e</w:t>
      </w:r>
      <w:r w:rsidRPr="005214C2">
        <w:rPr>
          <w:rFonts w:ascii="Roboto" w:hAnsi="Roboto" w:cstheme="minorHAnsi"/>
        </w:rPr>
        <w:t xml:space="preserve">xecutive of the proposing </w:t>
      </w:r>
      <w:r w:rsidR="00D66824">
        <w:rPr>
          <w:rFonts w:ascii="Roboto" w:hAnsi="Roboto" w:cstheme="minorHAnsi"/>
        </w:rPr>
        <w:t>f</w:t>
      </w:r>
      <w:r w:rsidRPr="005214C2">
        <w:rPr>
          <w:rFonts w:ascii="Roboto" w:hAnsi="Roboto" w:cstheme="minorHAnsi"/>
        </w:rPr>
        <w:t>aculty to ensure institutional alignment and fit with the external offer of funding. An additional consideration may also be whether partners at other universities or elsewhere are suitable for the opportunity</w:t>
      </w:r>
      <w:r>
        <w:rPr>
          <w:rFonts w:ascii="Roboto" w:hAnsi="Roboto" w:cstheme="minorHAnsi"/>
        </w:rPr>
        <w:t>.</w:t>
      </w:r>
    </w:p>
    <w:p w14:paraId="330B4FB6" w14:textId="77777777" w:rsidR="005214C2" w:rsidRPr="005214C2" w:rsidRDefault="005214C2" w:rsidP="005214C2">
      <w:pPr>
        <w:widowControl w:val="0"/>
        <w:autoSpaceDE w:val="0"/>
        <w:autoSpaceDN w:val="0"/>
        <w:spacing w:after="0" w:line="240" w:lineRule="auto"/>
        <w:jc w:val="both"/>
        <w:rPr>
          <w:rFonts w:ascii="Roboto" w:hAnsi="Roboto" w:cstheme="minorHAnsi"/>
        </w:rPr>
      </w:pPr>
    </w:p>
    <w:p w14:paraId="6225035A" w14:textId="367B2409" w:rsidR="005214C2" w:rsidRDefault="005214C2" w:rsidP="005214C2">
      <w:pPr>
        <w:pStyle w:val="ListParagraph"/>
        <w:widowControl w:val="0"/>
        <w:numPr>
          <w:ilvl w:val="0"/>
          <w:numId w:val="6"/>
        </w:numPr>
        <w:autoSpaceDE w:val="0"/>
        <w:autoSpaceDN w:val="0"/>
        <w:spacing w:after="0" w:line="240" w:lineRule="auto"/>
        <w:contextualSpacing w:val="0"/>
        <w:jc w:val="both"/>
        <w:rPr>
          <w:rFonts w:ascii="Roboto" w:hAnsi="Roboto" w:cstheme="minorHAnsi"/>
        </w:rPr>
      </w:pPr>
      <w:r w:rsidRPr="005214C2">
        <w:rPr>
          <w:rFonts w:ascii="Roboto" w:hAnsi="Roboto" w:cstheme="minorHAnsi"/>
        </w:rPr>
        <w:t xml:space="preserve">If accepted, RSO staff will meet with bid or consortia groups led by UNSW to discuss the proposal and how best to strategically develop the bid going forward. This may occur several times for major complex bids as the bid develops. These meetings are usually organised by the </w:t>
      </w:r>
      <w:r w:rsidR="00D66824">
        <w:rPr>
          <w:rFonts w:ascii="Roboto" w:hAnsi="Roboto" w:cstheme="minorHAnsi"/>
        </w:rPr>
        <w:t>l</w:t>
      </w:r>
      <w:r w:rsidRPr="005214C2">
        <w:rPr>
          <w:rFonts w:ascii="Roboto" w:hAnsi="Roboto" w:cstheme="minorHAnsi"/>
        </w:rPr>
        <w:t xml:space="preserve">ead </w:t>
      </w:r>
      <w:r w:rsidR="00D66824">
        <w:rPr>
          <w:rFonts w:ascii="Roboto" w:hAnsi="Roboto" w:cstheme="minorHAnsi"/>
        </w:rPr>
        <w:t>r</w:t>
      </w:r>
      <w:r w:rsidRPr="005214C2">
        <w:rPr>
          <w:rFonts w:ascii="Roboto" w:hAnsi="Roboto" w:cstheme="minorHAnsi"/>
        </w:rPr>
        <w:t>esearcher at UNSW, and RSO staff attend as a facilitator of proceedings, giving strategic advice as the bid develops.</w:t>
      </w:r>
    </w:p>
    <w:p w14:paraId="00B0E27B" w14:textId="77777777" w:rsidR="005214C2" w:rsidRPr="005214C2" w:rsidRDefault="005214C2" w:rsidP="005214C2">
      <w:pPr>
        <w:widowControl w:val="0"/>
        <w:autoSpaceDE w:val="0"/>
        <w:autoSpaceDN w:val="0"/>
        <w:spacing w:after="0" w:line="240" w:lineRule="auto"/>
        <w:jc w:val="both"/>
        <w:rPr>
          <w:rFonts w:ascii="Roboto" w:hAnsi="Roboto" w:cstheme="minorHAnsi"/>
        </w:rPr>
      </w:pPr>
    </w:p>
    <w:p w14:paraId="40FE8A28" w14:textId="2D22302F" w:rsidR="005214C2" w:rsidRDefault="005214C2" w:rsidP="005214C2">
      <w:pPr>
        <w:pStyle w:val="ListParagraph"/>
        <w:widowControl w:val="0"/>
        <w:numPr>
          <w:ilvl w:val="0"/>
          <w:numId w:val="6"/>
        </w:numPr>
        <w:autoSpaceDE w:val="0"/>
        <w:autoSpaceDN w:val="0"/>
        <w:spacing w:after="0" w:line="240" w:lineRule="auto"/>
        <w:contextualSpacing w:val="0"/>
        <w:jc w:val="both"/>
        <w:rPr>
          <w:rFonts w:ascii="Roboto" w:hAnsi="Roboto" w:cstheme="minorHAnsi"/>
        </w:rPr>
      </w:pPr>
      <w:r w:rsidRPr="005214C2">
        <w:rPr>
          <w:rFonts w:ascii="Roboto" w:hAnsi="Roboto" w:cstheme="minorHAnsi"/>
        </w:rPr>
        <w:t>The RSO acts as a broker with other UNSW units to ensure that the bid is fully supported by the University. This may involve consultations with Knowledge Exchange, the Legal Office and RGC, along with other parties that may be needed to advise on issues related to the bid</w:t>
      </w:r>
      <w:r>
        <w:rPr>
          <w:rFonts w:ascii="Roboto" w:hAnsi="Roboto" w:cstheme="minorHAnsi"/>
        </w:rPr>
        <w:t>.</w:t>
      </w:r>
    </w:p>
    <w:p w14:paraId="5532E6C0" w14:textId="77777777" w:rsidR="005214C2" w:rsidRPr="005214C2" w:rsidRDefault="005214C2" w:rsidP="005214C2">
      <w:pPr>
        <w:widowControl w:val="0"/>
        <w:autoSpaceDE w:val="0"/>
        <w:autoSpaceDN w:val="0"/>
        <w:spacing w:after="0" w:line="240" w:lineRule="auto"/>
        <w:jc w:val="both"/>
        <w:rPr>
          <w:rFonts w:ascii="Roboto" w:hAnsi="Roboto" w:cstheme="minorHAnsi"/>
        </w:rPr>
      </w:pPr>
    </w:p>
    <w:p w14:paraId="0007010B" w14:textId="77777777" w:rsidR="005214C2" w:rsidRPr="005214C2" w:rsidRDefault="005214C2" w:rsidP="005214C2">
      <w:pPr>
        <w:pStyle w:val="ListParagraph"/>
        <w:widowControl w:val="0"/>
        <w:numPr>
          <w:ilvl w:val="0"/>
          <w:numId w:val="6"/>
        </w:numPr>
        <w:autoSpaceDE w:val="0"/>
        <w:autoSpaceDN w:val="0"/>
        <w:spacing w:after="0" w:line="240" w:lineRule="auto"/>
        <w:contextualSpacing w:val="0"/>
        <w:jc w:val="both"/>
        <w:rPr>
          <w:rFonts w:ascii="Roboto" w:hAnsi="Roboto" w:cstheme="minorHAnsi"/>
        </w:rPr>
      </w:pPr>
      <w:r w:rsidRPr="005214C2">
        <w:rPr>
          <w:rFonts w:ascii="Roboto" w:hAnsi="Roboto" w:cstheme="minorHAnsi"/>
        </w:rPr>
        <w:lastRenderedPageBreak/>
        <w:t>Where bids require a Letter of Support or a Declaration Form to be signed by either the DVCR or the PVCR, the RSO co-ordinates this and promulgates advice through the Associate Dean Research (ADR) network on how this should be satisfied.</w:t>
      </w:r>
    </w:p>
    <w:p w14:paraId="008314BD" w14:textId="77777777" w:rsidR="005214C2" w:rsidRPr="005214C2" w:rsidRDefault="005214C2" w:rsidP="005214C2">
      <w:pPr>
        <w:rPr>
          <w:rFonts w:ascii="Roboto" w:hAnsi="Roboto" w:cstheme="minorHAnsi"/>
          <w:b/>
        </w:rPr>
      </w:pPr>
    </w:p>
    <w:p w14:paraId="3FBF4724" w14:textId="606A677A" w:rsidR="005214C2" w:rsidRPr="005214C2" w:rsidRDefault="005214C2" w:rsidP="005214C2">
      <w:pPr>
        <w:rPr>
          <w:rFonts w:ascii="Clancy" w:hAnsi="Clancy" w:cstheme="minorHAnsi"/>
          <w:b/>
        </w:rPr>
      </w:pPr>
      <w:r w:rsidRPr="005214C2">
        <w:rPr>
          <w:rFonts w:ascii="Clancy" w:hAnsi="Clancy" w:cstheme="minorHAnsi"/>
          <w:b/>
        </w:rPr>
        <w:t>Review of Major External Centre Bids by the Pro</w:t>
      </w:r>
      <w:r w:rsidR="00D66824">
        <w:rPr>
          <w:rFonts w:ascii="Clancy" w:hAnsi="Clancy" w:cstheme="minorHAnsi"/>
          <w:b/>
        </w:rPr>
        <w:t>-</w:t>
      </w:r>
      <w:r w:rsidRPr="005214C2">
        <w:rPr>
          <w:rFonts w:ascii="Clancy" w:hAnsi="Clancy" w:cstheme="minorHAnsi"/>
          <w:b/>
        </w:rPr>
        <w:t>Vice-Chancellor Research Infrastructure (PVCRI)</w:t>
      </w:r>
    </w:p>
    <w:p w14:paraId="2818F790" w14:textId="3299306B" w:rsidR="005214C2" w:rsidRPr="005214C2" w:rsidRDefault="005214C2" w:rsidP="005214C2">
      <w:pPr>
        <w:jc w:val="both"/>
        <w:rPr>
          <w:rFonts w:ascii="Roboto" w:hAnsi="Roboto" w:cstheme="minorHAnsi"/>
        </w:rPr>
      </w:pPr>
      <w:r w:rsidRPr="005214C2">
        <w:rPr>
          <w:rFonts w:ascii="Roboto" w:hAnsi="Roboto" w:cstheme="minorHAnsi"/>
        </w:rPr>
        <w:t>Incorporated into the above advice on strategy and co-funding is advice that no External Centre may be approved unless the bid and its implications for space and infrastructure at UNSW have been reviewed by the Office of the P</w:t>
      </w:r>
      <w:r w:rsidR="00D66824">
        <w:rPr>
          <w:rFonts w:ascii="Roboto" w:hAnsi="Roboto" w:cstheme="minorHAnsi"/>
        </w:rPr>
        <w:t>ro-Vice-Chancellor Research Infrastructure (P</w:t>
      </w:r>
      <w:r w:rsidRPr="005214C2">
        <w:rPr>
          <w:rFonts w:ascii="Roboto" w:hAnsi="Roboto" w:cstheme="minorHAnsi"/>
        </w:rPr>
        <w:t>VCRI</w:t>
      </w:r>
      <w:r w:rsidR="00D66824">
        <w:rPr>
          <w:rFonts w:ascii="Roboto" w:hAnsi="Roboto" w:cstheme="minorHAnsi"/>
        </w:rPr>
        <w:t>)</w:t>
      </w:r>
      <w:r w:rsidRPr="005214C2">
        <w:rPr>
          <w:rFonts w:ascii="Roboto" w:hAnsi="Roboto" w:cstheme="minorHAnsi"/>
        </w:rPr>
        <w:t>. For major bids led by UNSW, the lead researcher must consult with the PVCRI. RSO will refer applicants to the PVCRI.</w:t>
      </w:r>
    </w:p>
    <w:p w14:paraId="43794A63" w14:textId="6D10A895" w:rsidR="005214C2" w:rsidRPr="005214C2" w:rsidRDefault="005214C2" w:rsidP="005214C2">
      <w:pPr>
        <w:jc w:val="both"/>
        <w:rPr>
          <w:rFonts w:ascii="Roboto" w:hAnsi="Roboto" w:cstheme="minorHAnsi"/>
        </w:rPr>
      </w:pPr>
      <w:r w:rsidRPr="005214C2">
        <w:rPr>
          <w:rFonts w:ascii="Roboto" w:hAnsi="Roboto" w:cstheme="minorHAnsi"/>
        </w:rPr>
        <w:t>No external bid for a centre may proceed until the RSO receives an email from the PVCRI approving both the infrastructure and space implications of the bid. This includes bids where UNSW is not the lead party.</w:t>
      </w:r>
    </w:p>
    <w:p w14:paraId="135C3DC6" w14:textId="54BA7F43" w:rsidR="005214C2" w:rsidRPr="005214C2" w:rsidRDefault="005214C2" w:rsidP="00093E4D">
      <w:pPr>
        <w:spacing w:after="200"/>
        <w:rPr>
          <w:rFonts w:ascii="Roboto" w:hAnsi="Roboto"/>
          <w:noProof/>
        </w:rPr>
      </w:pPr>
    </w:p>
    <w:sectPr w:rsidR="005214C2" w:rsidRPr="005214C2" w:rsidSect="005214C2">
      <w:footerReference w:type="even" r:id="rId8"/>
      <w:footerReference w:type="default" r:id="rId9"/>
      <w:headerReference w:type="first" r:id="rId10"/>
      <w:footerReference w:type="first" r:id="rId11"/>
      <w:pgSz w:w="11906" w:h="16838"/>
      <w:pgMar w:top="1440" w:right="1021" w:bottom="1077" w:left="567" w:header="0"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D13E" w14:textId="77777777" w:rsidR="006F1BA6" w:rsidRDefault="006F1BA6" w:rsidP="00360215">
      <w:pPr>
        <w:spacing w:after="0" w:line="240" w:lineRule="auto"/>
      </w:pPr>
      <w:r>
        <w:separator/>
      </w:r>
    </w:p>
  </w:endnote>
  <w:endnote w:type="continuationSeparator" w:id="0">
    <w:p w14:paraId="5C8C628F" w14:textId="77777777" w:rsidR="006F1BA6" w:rsidRDefault="006F1BA6"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Somme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821890"/>
      <w:docPartObj>
        <w:docPartGallery w:val="Page Numbers (Bottom of Page)"/>
        <w:docPartUnique/>
      </w:docPartObj>
    </w:sdtPr>
    <w:sdtEndPr>
      <w:rPr>
        <w:rStyle w:val="PageNumber"/>
      </w:rPr>
    </w:sdtEndPr>
    <w:sdtContent>
      <w:p w14:paraId="65B927F4" w14:textId="77777777" w:rsidR="009408BD" w:rsidRDefault="009408BD" w:rsidP="001406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3EAD3C" w14:textId="77777777" w:rsidR="009408BD" w:rsidRDefault="009408BD" w:rsidP="009408B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426812"/>
      <w:docPartObj>
        <w:docPartGallery w:val="Page Numbers (Bottom of Page)"/>
        <w:docPartUnique/>
      </w:docPartObj>
    </w:sdtPr>
    <w:sdtEndPr>
      <w:rPr>
        <w:rStyle w:val="PageNumber"/>
      </w:rPr>
    </w:sdtEndPr>
    <w:sdtContent>
      <w:p w14:paraId="5949D8C9" w14:textId="77777777" w:rsidR="009408BD" w:rsidRDefault="009408BD" w:rsidP="009408BD">
        <w:pPr>
          <w:pStyle w:val="Footer"/>
          <w:framePr w:wrap="none" w:vAnchor="text" w:hAnchor="margin" w:y="4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10E8F6F" w14:textId="16C9D613" w:rsidR="00360215" w:rsidRDefault="00226CD0" w:rsidP="009408BD">
    <w:pPr>
      <w:pStyle w:val="Footeroption"/>
      <w:tabs>
        <w:tab w:val="right" w:pos="9026"/>
      </w:tabs>
      <w:ind w:firstLine="360"/>
    </w:pPr>
    <w:r w:rsidRPr="003F2FBC">
      <w:rPr>
        <w:noProof/>
      </w:rPr>
      <w:drawing>
        <wp:anchor distT="0" distB="0" distL="114300" distR="114300" simplePos="0" relativeHeight="251767808" behindDoc="0" locked="0" layoutInCell="1" allowOverlap="1" wp14:anchorId="75E2D1C8" wp14:editId="1996DFDF">
          <wp:simplePos x="0" y="0"/>
          <wp:positionH relativeFrom="column">
            <wp:posOffset>5397500</wp:posOffset>
          </wp:positionH>
          <wp:positionV relativeFrom="paragraph">
            <wp:posOffset>-635</wp:posOffset>
          </wp:positionV>
          <wp:extent cx="1423670"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r w:rsidR="006C4F51">
      <w:t>Version 1.1 – 17/07/2020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791121"/>
      <w:docPartObj>
        <w:docPartGallery w:val="Page Numbers (Bottom of Page)"/>
        <w:docPartUnique/>
      </w:docPartObj>
    </w:sdtPr>
    <w:sdtEndPr>
      <w:rPr>
        <w:rStyle w:val="PageNumber"/>
      </w:rPr>
    </w:sdtEndPr>
    <w:sdtContent>
      <w:p w14:paraId="17B83B5D" w14:textId="77777777" w:rsidR="009408BD" w:rsidRDefault="009408BD" w:rsidP="009408BD">
        <w:pPr>
          <w:pStyle w:val="Footer"/>
          <w:framePr w:wrap="none" w:vAnchor="text" w:hAnchor="margin" w:y="47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CA1F27" w14:textId="23273FD0" w:rsidR="00EA450A" w:rsidRPr="00232626" w:rsidRDefault="006C4F51" w:rsidP="009408BD">
    <w:pPr>
      <w:pStyle w:val="Footeroption"/>
      <w:tabs>
        <w:tab w:val="right" w:pos="9026"/>
      </w:tabs>
      <w:ind w:firstLine="360"/>
    </w:pPr>
    <w:r>
      <w:t>Version 1.1 – 17/07/2020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4307" w14:textId="77777777" w:rsidR="006F1BA6" w:rsidRDefault="006F1BA6" w:rsidP="00360215">
      <w:pPr>
        <w:spacing w:after="0" w:line="240" w:lineRule="auto"/>
      </w:pPr>
      <w:r>
        <w:separator/>
      </w:r>
    </w:p>
  </w:footnote>
  <w:footnote w:type="continuationSeparator" w:id="0">
    <w:p w14:paraId="28917583" w14:textId="77777777" w:rsidR="006F1BA6" w:rsidRDefault="006F1BA6"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5901" w14:textId="77777777" w:rsidR="003F2FBC" w:rsidRDefault="004B4936">
    <w:pPr>
      <w:pStyle w:val="Header"/>
    </w:pPr>
    <w:r>
      <w:rPr>
        <w:noProof/>
      </w:rPr>
      <w:drawing>
        <wp:anchor distT="0" distB="0" distL="114300" distR="114300" simplePos="0" relativeHeight="251768832" behindDoc="0" locked="0" layoutInCell="1" allowOverlap="1" wp14:anchorId="4C171BF1" wp14:editId="2D97D3A7">
          <wp:simplePos x="0" y="0"/>
          <wp:positionH relativeFrom="column">
            <wp:posOffset>4254501</wp:posOffset>
          </wp:positionH>
          <wp:positionV relativeFrom="paragraph">
            <wp:posOffset>-717177</wp:posOffset>
          </wp:positionV>
          <wp:extent cx="3441700" cy="4064000"/>
          <wp:effectExtent l="158750" t="44450" r="69850" b="0"/>
          <wp:wrapNone/>
          <wp:docPr id="4" name="Picture 4">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pe 10 pattern 3.png"/>
                  <pic:cNvPicPr/>
                </pic:nvPicPr>
                <pic:blipFill>
                  <a:blip r:embed="rId1"/>
                  <a:stretch>
                    <a:fillRect/>
                  </a:stretch>
                </pic:blipFill>
                <pic:spPr>
                  <a:xfrm rot="4766351">
                    <a:off x="0" y="0"/>
                    <a:ext cx="3441700" cy="4064000"/>
                  </a:xfrm>
                  <a:prstGeom prst="rect">
                    <a:avLst/>
                  </a:prstGeom>
                </pic:spPr>
              </pic:pic>
            </a:graphicData>
          </a:graphic>
          <wp14:sizeRelH relativeFrom="page">
            <wp14:pctWidth>0</wp14:pctWidth>
          </wp14:sizeRelH>
          <wp14:sizeRelV relativeFrom="page">
            <wp14:pctHeight>0</wp14:pctHeight>
          </wp14:sizeRelV>
        </wp:anchor>
      </w:drawing>
    </w:r>
    <w:r w:rsidR="003F2FBC" w:rsidRPr="003F2FBC">
      <w:rPr>
        <w:noProof/>
      </w:rPr>
      <mc:AlternateContent>
        <mc:Choice Requires="wps">
          <w:drawing>
            <wp:anchor distT="0" distB="0" distL="114300" distR="114300" simplePos="0" relativeHeight="251745280" behindDoc="0" locked="0" layoutInCell="1" allowOverlap="1" wp14:anchorId="349F851C" wp14:editId="66C25C09">
              <wp:simplePos x="0" y="0"/>
              <wp:positionH relativeFrom="column">
                <wp:posOffset>-457200</wp:posOffset>
              </wp:positionH>
              <wp:positionV relativeFrom="paragraph">
                <wp:posOffset>-42333</wp:posOffset>
              </wp:positionV>
              <wp:extent cx="8280400" cy="1634066"/>
              <wp:effectExtent l="0" t="0" r="0" b="4445"/>
              <wp:wrapNone/>
              <wp:docPr id="18" name="Rectangle 18"/>
              <wp:cNvGraphicFramePr/>
              <a:graphic xmlns:a="http://schemas.openxmlformats.org/drawingml/2006/main">
                <a:graphicData uri="http://schemas.microsoft.com/office/word/2010/wordprocessingShape">
                  <wps:wsp>
                    <wps:cNvSpPr/>
                    <wps:spPr>
                      <a:xfrm>
                        <a:off x="0" y="0"/>
                        <a:ext cx="8280400" cy="163406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3C5206" w14:textId="77777777" w:rsidR="003F2FBC" w:rsidRDefault="003F2FBC" w:rsidP="003F2FBC">
                          <w:pPr>
                            <w:jc w:val="right"/>
                          </w:pPr>
                        </w:p>
                        <w:p w14:paraId="4C23835A" w14:textId="77777777" w:rsidR="003F2FBC" w:rsidRDefault="003F2FBC" w:rsidP="003F2FBC">
                          <w:pPr>
                            <w:jc w:val="right"/>
                          </w:pPr>
                        </w:p>
                        <w:p w14:paraId="0972DF00" w14:textId="77777777" w:rsidR="003F2FBC" w:rsidRDefault="003F2FBC" w:rsidP="003F2FBC">
                          <w:pPr>
                            <w:jc w:val="right"/>
                          </w:pPr>
                        </w:p>
                        <w:p w14:paraId="16E1CB89" w14:textId="77777777" w:rsidR="003F2FBC" w:rsidRDefault="003F2FBC" w:rsidP="003F2FBC">
                          <w:pPr>
                            <w:jc w:val="right"/>
                          </w:pPr>
                        </w:p>
                        <w:p w14:paraId="6F49F3A6" w14:textId="77777777" w:rsidR="003F2FBC" w:rsidRDefault="003F2FBC" w:rsidP="003F2FBC">
                          <w:pPr>
                            <w:jc w:val="right"/>
                          </w:pPr>
                        </w:p>
                        <w:p w14:paraId="03151FF1" w14:textId="77777777" w:rsidR="003F2FBC" w:rsidRDefault="003F2FBC" w:rsidP="003F2FBC">
                          <w:pPr>
                            <w:jc w:val="right"/>
                          </w:pPr>
                        </w:p>
                        <w:p w14:paraId="5C77251C" w14:textId="77777777" w:rsidR="003F2FBC" w:rsidRDefault="003F2FBC" w:rsidP="003F2FBC">
                          <w:pPr>
                            <w:jc w:val="right"/>
                          </w:pPr>
                        </w:p>
                        <w:p w14:paraId="61D784BB" w14:textId="77777777" w:rsidR="003F2FBC" w:rsidRDefault="003F2FBC" w:rsidP="003F2FBC">
                          <w:pPr>
                            <w:jc w:val="right"/>
                          </w:pPr>
                        </w:p>
                        <w:p w14:paraId="240BD772" w14:textId="77777777" w:rsidR="003F2FBC" w:rsidRDefault="003F2FBC" w:rsidP="003F2FBC">
                          <w:pPr>
                            <w:jc w:val="right"/>
                          </w:pPr>
                        </w:p>
                        <w:p w14:paraId="7554FE43" w14:textId="77777777" w:rsidR="003F2FBC" w:rsidRDefault="003F2FBC" w:rsidP="003F2FBC">
                          <w:pPr>
                            <w:jc w:val="right"/>
                          </w:pPr>
                        </w:p>
                        <w:p w14:paraId="58AB45FA" w14:textId="77777777" w:rsidR="003F2FBC" w:rsidRDefault="003F2FBC" w:rsidP="003F2FB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F851C" id="Rectangle 18" o:spid="_x0000_s1026" style="position:absolute;margin-left:-36pt;margin-top:-3.35pt;width:652pt;height:12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" fillcolor="#ffdc00" stroked="f" strokeweight="2pt">
              <v:textbox>
                <w:txbxContent>
                  <w:p w14:paraId="533C5206" w14:textId="77777777" w:rsidR="003F2FBC" w:rsidRDefault="003F2FBC" w:rsidP="003F2FBC">
                    <w:pPr>
                      <w:jc w:val="right"/>
                    </w:pPr>
                  </w:p>
                  <w:p w14:paraId="4C23835A" w14:textId="77777777" w:rsidR="003F2FBC" w:rsidRDefault="003F2FBC" w:rsidP="003F2FBC">
                    <w:pPr>
                      <w:jc w:val="right"/>
                    </w:pPr>
                  </w:p>
                  <w:p w14:paraId="0972DF00" w14:textId="77777777" w:rsidR="003F2FBC" w:rsidRDefault="003F2FBC" w:rsidP="003F2FBC">
                    <w:pPr>
                      <w:jc w:val="right"/>
                    </w:pPr>
                  </w:p>
                  <w:p w14:paraId="16E1CB89" w14:textId="77777777" w:rsidR="003F2FBC" w:rsidRDefault="003F2FBC" w:rsidP="003F2FBC">
                    <w:pPr>
                      <w:jc w:val="right"/>
                    </w:pPr>
                  </w:p>
                  <w:p w14:paraId="6F49F3A6" w14:textId="77777777" w:rsidR="003F2FBC" w:rsidRDefault="003F2FBC" w:rsidP="003F2FBC">
                    <w:pPr>
                      <w:jc w:val="right"/>
                    </w:pPr>
                  </w:p>
                  <w:p w14:paraId="03151FF1" w14:textId="77777777" w:rsidR="003F2FBC" w:rsidRDefault="003F2FBC" w:rsidP="003F2FBC">
                    <w:pPr>
                      <w:jc w:val="right"/>
                    </w:pPr>
                  </w:p>
                  <w:p w14:paraId="5C77251C" w14:textId="77777777" w:rsidR="003F2FBC" w:rsidRDefault="003F2FBC" w:rsidP="003F2FBC">
                    <w:pPr>
                      <w:jc w:val="right"/>
                    </w:pPr>
                  </w:p>
                  <w:p w14:paraId="61D784BB" w14:textId="77777777" w:rsidR="003F2FBC" w:rsidRDefault="003F2FBC" w:rsidP="003F2FBC">
                    <w:pPr>
                      <w:jc w:val="right"/>
                    </w:pPr>
                  </w:p>
                  <w:p w14:paraId="240BD772" w14:textId="77777777" w:rsidR="003F2FBC" w:rsidRDefault="003F2FBC" w:rsidP="003F2FBC">
                    <w:pPr>
                      <w:jc w:val="right"/>
                    </w:pPr>
                  </w:p>
                  <w:p w14:paraId="7554FE43" w14:textId="77777777" w:rsidR="003F2FBC" w:rsidRDefault="003F2FBC" w:rsidP="003F2FBC">
                    <w:pPr>
                      <w:jc w:val="right"/>
                    </w:pPr>
                  </w:p>
                  <w:p w14:paraId="58AB45FA" w14:textId="77777777" w:rsidR="003F2FBC" w:rsidRDefault="003F2FBC" w:rsidP="003F2FBC">
                    <w:pPr>
                      <w:jc w:val="right"/>
                    </w:pPr>
                  </w:p>
                </w:txbxContent>
              </v:textbox>
            </v:rect>
          </w:pict>
        </mc:Fallback>
      </mc:AlternateContent>
    </w:r>
  </w:p>
  <w:p w14:paraId="3A952E21" w14:textId="77777777" w:rsidR="003F2FBC" w:rsidRDefault="003F2FBC">
    <w:pPr>
      <w:pStyle w:val="Header"/>
    </w:pPr>
    <w:r w:rsidRPr="003F2FBC">
      <w:rPr>
        <w:noProof/>
      </w:rPr>
      <w:drawing>
        <wp:anchor distT="0" distB="0" distL="114300" distR="114300" simplePos="0" relativeHeight="251761664" behindDoc="0" locked="0" layoutInCell="1" allowOverlap="1" wp14:anchorId="4951AF71" wp14:editId="5DC46AA6">
          <wp:simplePos x="0" y="0"/>
          <wp:positionH relativeFrom="column">
            <wp:posOffset>50165</wp:posOffset>
          </wp:positionH>
          <wp:positionV relativeFrom="page">
            <wp:posOffset>217593</wp:posOffset>
          </wp:positionV>
          <wp:extent cx="998855" cy="1170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14:paraId="08177102" w14:textId="77777777" w:rsidR="003F2FBC" w:rsidRDefault="003F2FBC">
    <w:pPr>
      <w:pStyle w:val="Header"/>
    </w:pPr>
  </w:p>
  <w:p w14:paraId="065720C3" w14:textId="77777777" w:rsidR="003F2FBC" w:rsidRDefault="003F2FBC">
    <w:pPr>
      <w:pStyle w:val="Header"/>
    </w:pPr>
  </w:p>
  <w:p w14:paraId="579093CF" w14:textId="77777777" w:rsidR="003F2FBC" w:rsidRDefault="003F2FBC">
    <w:pPr>
      <w:pStyle w:val="Header"/>
    </w:pPr>
  </w:p>
  <w:p w14:paraId="6083442A" w14:textId="77777777" w:rsidR="003F2FBC" w:rsidRDefault="003F2FBC">
    <w:pPr>
      <w:pStyle w:val="Header"/>
    </w:pPr>
  </w:p>
  <w:p w14:paraId="26DAE28A" w14:textId="77777777" w:rsidR="003F2FBC" w:rsidRDefault="003F2FBC">
    <w:pPr>
      <w:pStyle w:val="Header"/>
    </w:pPr>
  </w:p>
  <w:p w14:paraId="36319576" w14:textId="77777777" w:rsidR="003F2FBC" w:rsidRDefault="003F2FBC">
    <w:pPr>
      <w:pStyle w:val="Header"/>
    </w:pPr>
  </w:p>
  <w:p w14:paraId="273F94BA" w14:textId="77777777" w:rsidR="003F2FBC" w:rsidRDefault="003F2FBC">
    <w:pPr>
      <w:pStyle w:val="Header"/>
    </w:pPr>
  </w:p>
  <w:p w14:paraId="4D397AA3" w14:textId="77777777" w:rsidR="00EA450A" w:rsidRDefault="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36144F79"/>
    <w:multiLevelType w:val="hybridMultilevel"/>
    <w:tmpl w:val="27A068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81253D"/>
    <w:multiLevelType w:val="hybridMultilevel"/>
    <w:tmpl w:val="891A1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5D6829DD"/>
    <w:multiLevelType w:val="hybridMultilevel"/>
    <w:tmpl w:val="9E8CF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42"/>
    <w:rsid w:val="000267FB"/>
    <w:rsid w:val="00075653"/>
    <w:rsid w:val="00093E4D"/>
    <w:rsid w:val="00146F79"/>
    <w:rsid w:val="001809C4"/>
    <w:rsid w:val="001859C9"/>
    <w:rsid w:val="001A3CDA"/>
    <w:rsid w:val="001B32A8"/>
    <w:rsid w:val="001C12BD"/>
    <w:rsid w:val="001C5924"/>
    <w:rsid w:val="00226CD0"/>
    <w:rsid w:val="00232626"/>
    <w:rsid w:val="0026701D"/>
    <w:rsid w:val="00295DD0"/>
    <w:rsid w:val="002C14BE"/>
    <w:rsid w:val="002D1A11"/>
    <w:rsid w:val="002E5537"/>
    <w:rsid w:val="002F7CEC"/>
    <w:rsid w:val="003120C7"/>
    <w:rsid w:val="00343816"/>
    <w:rsid w:val="00352C8D"/>
    <w:rsid w:val="00360215"/>
    <w:rsid w:val="003923DC"/>
    <w:rsid w:val="003A6718"/>
    <w:rsid w:val="003B651B"/>
    <w:rsid w:val="003D35A1"/>
    <w:rsid w:val="003F2A09"/>
    <w:rsid w:val="003F2FBC"/>
    <w:rsid w:val="004145AE"/>
    <w:rsid w:val="00434A98"/>
    <w:rsid w:val="0046375B"/>
    <w:rsid w:val="00481478"/>
    <w:rsid w:val="004A06B7"/>
    <w:rsid w:val="004B4936"/>
    <w:rsid w:val="005214C2"/>
    <w:rsid w:val="00580876"/>
    <w:rsid w:val="00592EA6"/>
    <w:rsid w:val="005A15EE"/>
    <w:rsid w:val="005F5C78"/>
    <w:rsid w:val="00625084"/>
    <w:rsid w:val="00633EE4"/>
    <w:rsid w:val="006C4F51"/>
    <w:rsid w:val="006F1BA6"/>
    <w:rsid w:val="007126B0"/>
    <w:rsid w:val="007525FE"/>
    <w:rsid w:val="00762B79"/>
    <w:rsid w:val="007A5F84"/>
    <w:rsid w:val="007B77F2"/>
    <w:rsid w:val="007E4CB7"/>
    <w:rsid w:val="008135AF"/>
    <w:rsid w:val="00875989"/>
    <w:rsid w:val="00881B91"/>
    <w:rsid w:val="008870AB"/>
    <w:rsid w:val="009408BD"/>
    <w:rsid w:val="00963242"/>
    <w:rsid w:val="00982B5B"/>
    <w:rsid w:val="00996493"/>
    <w:rsid w:val="009B2B47"/>
    <w:rsid w:val="009C42A7"/>
    <w:rsid w:val="009F4E7D"/>
    <w:rsid w:val="00A75EE0"/>
    <w:rsid w:val="00AC1C7E"/>
    <w:rsid w:val="00AF2B7D"/>
    <w:rsid w:val="00B05569"/>
    <w:rsid w:val="00B743E0"/>
    <w:rsid w:val="00B81DC4"/>
    <w:rsid w:val="00BD7FB1"/>
    <w:rsid w:val="00C4307B"/>
    <w:rsid w:val="00CC7612"/>
    <w:rsid w:val="00CE70B5"/>
    <w:rsid w:val="00D33B7B"/>
    <w:rsid w:val="00D66824"/>
    <w:rsid w:val="00DA2B30"/>
    <w:rsid w:val="00DE6F20"/>
    <w:rsid w:val="00E412AC"/>
    <w:rsid w:val="00E50C69"/>
    <w:rsid w:val="00E63E06"/>
    <w:rsid w:val="00E75451"/>
    <w:rsid w:val="00E97C8F"/>
    <w:rsid w:val="00EA450A"/>
    <w:rsid w:val="00EA6CEA"/>
    <w:rsid w:val="00ED0F47"/>
    <w:rsid w:val="00EE5301"/>
    <w:rsid w:val="00EE7455"/>
    <w:rsid w:val="00F6284A"/>
    <w:rsid w:val="00F724CB"/>
    <w:rsid w:val="00F7696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rokecolor="#ffd700">
      <v:stroke color="#ffd700" weight="4pt"/>
    </o:shapedefaults>
    <o:shapelayout v:ext="edit">
      <o:idmap v:ext="edit" data="1"/>
    </o:shapelayout>
  </w:shapeDefaults>
  <w:decimalSymbol w:val="."/>
  <w:listSeparator w:val=","/>
  <w14:docId w14:val="307AFE8F"/>
  <w15:docId w15:val="{010814D8-2315-4406-BDDA-F97F1D77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12BD"/>
    <w:pPr>
      <w:spacing w:after="60"/>
    </w:pPr>
  </w:style>
  <w:style w:type="paragraph" w:styleId="Heading1">
    <w:name w:val="heading 1"/>
    <w:basedOn w:val="Normal"/>
    <w:next w:val="Normal"/>
    <w:link w:val="Heading1Char"/>
    <w:uiPriority w:val="9"/>
    <w:qFormat/>
    <w:rsid w:val="001C12BD"/>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C12BD"/>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2BD"/>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1C12BD"/>
    <w:rPr>
      <w:rFonts w:eastAsiaTheme="majorEastAsia" w:cstheme="majorBidi"/>
      <w:b/>
      <w:bCs/>
      <w:sz w:val="26"/>
      <w:szCs w:val="26"/>
    </w:rPr>
  </w:style>
  <w:style w:type="paragraph" w:styleId="Title">
    <w:name w:val="Title"/>
    <w:basedOn w:val="Normal"/>
    <w:next w:val="Normal"/>
    <w:link w:val="TitleChar"/>
    <w:uiPriority w:val="10"/>
    <w:qFormat/>
    <w:rsid w:val="001C12BD"/>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1C12BD"/>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DE6F20"/>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DE6F20"/>
    <w:rPr>
      <w:rFonts w:ascii="Roboto" w:eastAsiaTheme="majorEastAsia" w:hAnsi="Roboto" w:cstheme="majorBidi"/>
      <w:i/>
      <w:iCs/>
      <w:spacing w:val="15"/>
      <w:sz w:val="24"/>
      <w:szCs w:val="24"/>
    </w:rPr>
  </w:style>
  <w:style w:type="character" w:styleId="SubtleEmphasis">
    <w:name w:val="Subtle Emphasis"/>
    <w:basedOn w:val="DefaultParagraphFont"/>
    <w:uiPriority w:val="19"/>
    <w:qFormat/>
    <w:rsid w:val="001C12BD"/>
    <w:rPr>
      <w:rFonts w:ascii="Arial" w:hAnsi="Arial"/>
      <w:i/>
      <w:iCs/>
      <w:color w:val="595959" w:themeColor="text1" w:themeTint="A6"/>
    </w:rPr>
  </w:style>
  <w:style w:type="character" w:styleId="Emphasis">
    <w:name w:val="Emphasis"/>
    <w:basedOn w:val="DefaultParagraphFont"/>
    <w:uiPriority w:val="20"/>
    <w:qFormat/>
    <w:rsid w:val="001C12BD"/>
    <w:rPr>
      <w:rFonts w:ascii="Arial" w:hAnsi="Arial"/>
      <w:i/>
      <w:iCs/>
    </w:rPr>
  </w:style>
  <w:style w:type="character" w:styleId="IntenseEmphasis">
    <w:name w:val="Intense Emphasis"/>
    <w:basedOn w:val="DefaultParagraphFont"/>
    <w:uiPriority w:val="21"/>
    <w:qFormat/>
    <w:rsid w:val="001C12BD"/>
    <w:rPr>
      <w:rFonts w:ascii="Arial" w:hAnsi="Arial"/>
      <w:b/>
      <w:bCs/>
      <w:i/>
      <w:iCs/>
      <w:color w:val="595959" w:themeColor="text1" w:themeTint="A6"/>
    </w:rPr>
  </w:style>
  <w:style w:type="character" w:styleId="Strong">
    <w:name w:val="Strong"/>
    <w:basedOn w:val="DefaultParagraphFont"/>
    <w:uiPriority w:val="22"/>
    <w:qFormat/>
    <w:rsid w:val="001C12BD"/>
    <w:rPr>
      <w:rFonts w:ascii="Arial" w:hAnsi="Arial"/>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1C12BD"/>
    <w:rPr>
      <w:rFonts w:ascii="Arial" w:hAnsi="Arial"/>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1C12BD"/>
    <w:rPr>
      <w:rFonts w:ascii="Arial" w:hAnsi="Arial"/>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1C12BD"/>
    <w:pPr>
      <w:spacing w:after="0" w:line="240" w:lineRule="auto"/>
    </w:pPr>
  </w:style>
  <w:style w:type="paragraph" w:styleId="Quote">
    <w:name w:val="Quote"/>
    <w:basedOn w:val="Normal"/>
    <w:next w:val="Normal"/>
    <w:link w:val="QuoteChar"/>
    <w:uiPriority w:val="29"/>
    <w:qFormat/>
    <w:rsid w:val="00DE6F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6F20"/>
    <w:rPr>
      <w:rFonts w:ascii="Roboto" w:hAnsi="Roboto"/>
      <w:i/>
      <w:iCs/>
      <w:color w:val="404040" w:themeColor="text1" w:themeTint="BF"/>
    </w:rPr>
  </w:style>
  <w:style w:type="character" w:styleId="IntenseReference">
    <w:name w:val="Intense Reference"/>
    <w:basedOn w:val="DefaultParagraphFont"/>
    <w:uiPriority w:val="32"/>
    <w:qFormat/>
    <w:rsid w:val="001C12BD"/>
    <w:rPr>
      <w:rFonts w:ascii="Arial" w:hAnsi="Arial"/>
      <w:b/>
      <w:bCs/>
      <w:smallCaps/>
      <w:color w:val="4F81BD" w:themeColor="accent1"/>
      <w:spacing w:val="5"/>
    </w:rPr>
  </w:style>
  <w:style w:type="character" w:styleId="PageNumber">
    <w:name w:val="page number"/>
    <w:basedOn w:val="DefaultParagraphFont"/>
    <w:uiPriority w:val="99"/>
    <w:semiHidden/>
    <w:unhideWhenUsed/>
    <w:rsid w:val="0094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4601164\AppData\Local\Temp\Temp1_Word-Document-Templates%20(1).zip\Word%20Document%20Templates\Portrait\Word%20Doc%20Portrait%20-%20ARIAL%20(For%20sharing%20external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51C12C-26DF-1347-8C51-CC55A399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 Portrait - ARIAL (For sharing externally)</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Morse</dc:creator>
  <cp:lastModifiedBy>Claudia Abouarrage</cp:lastModifiedBy>
  <cp:revision>2</cp:revision>
  <dcterms:created xsi:type="dcterms:W3CDTF">2021-11-15T00:33:00Z</dcterms:created>
  <dcterms:modified xsi:type="dcterms:W3CDTF">2021-11-15T00:33:00Z</dcterms:modified>
</cp:coreProperties>
</file>